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7483" w14:textId="77777777" w:rsidR="0075431C" w:rsidRDefault="00BB256B" w:rsidP="00F50C1A">
      <w:pPr>
        <w:spacing w:after="0" w:line="240" w:lineRule="auto"/>
        <w:contextualSpacing/>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PROPOSAL WRITING OUTLINE</w:t>
      </w:r>
    </w:p>
    <w:p w14:paraId="1BFF8D27" w14:textId="77777777" w:rsidR="0075431C" w:rsidRDefault="00BB256B" w:rsidP="00F50C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is meant to guide you through the proposal writing process and to serve as an initial template for a well-developed proposal. </w:t>
      </w:r>
    </w:p>
    <w:p w14:paraId="67F733E1" w14:textId="77777777" w:rsidR="00F50C1A" w:rsidRDefault="00F50C1A" w:rsidP="00F50C1A">
      <w:pPr>
        <w:spacing w:after="0" w:line="240" w:lineRule="auto"/>
        <w:contextualSpacing/>
        <w:rPr>
          <w:rFonts w:ascii="Times New Roman" w:eastAsia="Times New Roman" w:hAnsi="Times New Roman" w:cs="Times New Roman"/>
          <w:sz w:val="24"/>
          <w:szCs w:val="24"/>
        </w:rPr>
      </w:pPr>
    </w:p>
    <w:p w14:paraId="35D6C731" w14:textId="2534719C" w:rsidR="0075431C" w:rsidRDefault="00BB256B" w:rsidP="00F50C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outline includes the following sections, each with brief descriptions of what is typically included, and sample</w:t>
      </w:r>
      <w:r>
        <w:rPr>
          <w:rFonts w:ascii="Times New Roman" w:eastAsia="Times New Roman" w:hAnsi="Times New Roman" w:cs="Times New Roman"/>
          <w:sz w:val="24"/>
          <w:szCs w:val="24"/>
        </w:rPr>
        <w:t xml:space="preserve"> text from past proposals:</w:t>
      </w:r>
    </w:p>
    <w:p w14:paraId="55CC4628" w14:textId="77777777" w:rsidR="00F50C1A" w:rsidRDefault="00F50C1A" w:rsidP="00F50C1A">
      <w:pPr>
        <w:spacing w:after="0" w:line="240" w:lineRule="auto"/>
        <w:contextualSpacing/>
        <w:rPr>
          <w:rFonts w:ascii="Times New Roman" w:eastAsia="Times New Roman" w:hAnsi="Times New Roman" w:cs="Times New Roman"/>
          <w:sz w:val="24"/>
          <w:szCs w:val="24"/>
        </w:rPr>
      </w:pPr>
    </w:p>
    <w:p w14:paraId="0BA47B38"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Introductory Information</w:t>
      </w:r>
    </w:p>
    <w:p w14:paraId="4017D3B5"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Description</w:t>
      </w:r>
    </w:p>
    <w:p w14:paraId="6D21A1B7"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Support</w:t>
      </w:r>
    </w:p>
    <w:p w14:paraId="3E45D6F3"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Project/Program Goals or Objectives</w:t>
      </w:r>
    </w:p>
    <w:p w14:paraId="185410A8"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Sustainability/Other Funders</w:t>
      </w:r>
    </w:p>
    <w:p w14:paraId="6C0FB17B"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Budget/Budget Narrative</w:t>
      </w:r>
    </w:p>
    <w:p w14:paraId="31189B38" w14:textId="77777777" w:rsidR="0075431C" w:rsidRDefault="00BB256B" w:rsidP="00F50C1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50E5CB92" w14:textId="77777777" w:rsidR="00BE303E" w:rsidRDefault="00BE303E" w:rsidP="00F50C1A">
      <w:pPr>
        <w:spacing w:after="0" w:line="240" w:lineRule="auto"/>
        <w:contextualSpacing/>
        <w:rPr>
          <w:rFonts w:ascii="Times New Roman" w:eastAsia="Times New Roman" w:hAnsi="Times New Roman" w:cs="Times New Roman"/>
          <w:i/>
          <w:sz w:val="24"/>
          <w:szCs w:val="24"/>
        </w:rPr>
      </w:pPr>
    </w:p>
    <w:p w14:paraId="18077D9A" w14:textId="7B2EE3CB" w:rsidR="0075431C" w:rsidRDefault="00BB256B" w:rsidP="00F50C1A">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NOTE that </w:t>
      </w:r>
      <w:r>
        <w:rPr>
          <w:rFonts w:ascii="Times New Roman" w:eastAsia="Times New Roman" w:hAnsi="Times New Roman" w:cs="Times New Roman"/>
          <w:i/>
          <w:sz w:val="24"/>
          <w:szCs w:val="24"/>
          <w:u w:val="single"/>
        </w:rPr>
        <w:t>not every proposal will look the same</w:t>
      </w:r>
      <w:r>
        <w:rPr>
          <w:rFonts w:ascii="Times New Roman" w:eastAsia="Times New Roman" w:hAnsi="Times New Roman" w:cs="Times New Roman"/>
          <w:i/>
          <w:sz w:val="24"/>
          <w:szCs w:val="24"/>
        </w:rPr>
        <w:t xml:space="preserve"> and you ma</w:t>
      </w:r>
      <w:r>
        <w:rPr>
          <w:rFonts w:ascii="Times New Roman" w:eastAsia="Times New Roman" w:hAnsi="Times New Roman" w:cs="Times New Roman"/>
          <w:i/>
          <w:sz w:val="24"/>
          <w:szCs w:val="24"/>
        </w:rPr>
        <w:t xml:space="preserve">y find it necessary to rearrange sections or to add/remove certain information to fit the needs of your donor. If a donor requests that you use a specific template, you should follow their </w:t>
      </w:r>
      <w:proofErr w:type="gramStart"/>
      <w:r>
        <w:rPr>
          <w:rFonts w:ascii="Times New Roman" w:eastAsia="Times New Roman" w:hAnsi="Times New Roman" w:cs="Times New Roman"/>
          <w:i/>
          <w:sz w:val="24"/>
          <w:szCs w:val="24"/>
        </w:rPr>
        <w:t>guidelines.*</w:t>
      </w:r>
      <w:proofErr w:type="gramEnd"/>
      <w:r>
        <w:rPr>
          <w:rFonts w:ascii="Times New Roman" w:eastAsia="Times New Roman" w:hAnsi="Times New Roman" w:cs="Times New Roman"/>
          <w:i/>
          <w:sz w:val="24"/>
          <w:szCs w:val="24"/>
        </w:rPr>
        <w:t>*</w:t>
      </w:r>
    </w:p>
    <w:p w14:paraId="3F5FF6A7" w14:textId="77777777" w:rsidR="00BE303E" w:rsidRDefault="00BE303E" w:rsidP="00F50C1A">
      <w:pPr>
        <w:spacing w:after="0" w:line="240" w:lineRule="auto"/>
        <w:contextualSpacing/>
        <w:rPr>
          <w:rFonts w:ascii="Times New Roman" w:eastAsia="Times New Roman" w:hAnsi="Times New Roman" w:cs="Times New Roman"/>
          <w:sz w:val="24"/>
          <w:szCs w:val="24"/>
        </w:rPr>
      </w:pPr>
    </w:p>
    <w:p w14:paraId="726A30A5" w14:textId="1ABF7E60" w:rsidR="0075431C" w:rsidRDefault="00BB256B" w:rsidP="00F50C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your proposal draft reviewed by the</w:t>
      </w:r>
      <w:r>
        <w:rPr>
          <w:rFonts w:ascii="Times New Roman" w:eastAsia="Times New Roman" w:hAnsi="Times New Roman" w:cs="Times New Roman"/>
          <w:sz w:val="24"/>
          <w:szCs w:val="24"/>
        </w:rPr>
        <w:t xml:space="preserve"> Writing Services team, please send a request to </w:t>
      </w:r>
      <w:hyperlink r:id="rId6">
        <w:r>
          <w:rPr>
            <w:rFonts w:ascii="Times New Roman" w:eastAsia="Times New Roman" w:hAnsi="Times New Roman" w:cs="Times New Roman"/>
            <w:color w:val="1155CC"/>
            <w:sz w:val="24"/>
            <w:szCs w:val="24"/>
            <w:u w:val="single"/>
          </w:rPr>
          <w:t>WritingServices@asufoundation.org</w:t>
        </w:r>
      </w:hyperlink>
      <w:r>
        <w:rPr>
          <w:rFonts w:ascii="Times New Roman" w:eastAsia="Times New Roman" w:hAnsi="Times New Roman" w:cs="Times New Roman"/>
          <w:sz w:val="24"/>
          <w:szCs w:val="24"/>
        </w:rPr>
        <w:t xml:space="preserve">. </w:t>
      </w:r>
    </w:p>
    <w:p w14:paraId="39783129" w14:textId="77777777" w:rsidR="00BE303E" w:rsidRDefault="00BE303E" w:rsidP="00F50C1A">
      <w:pPr>
        <w:spacing w:after="0" w:line="240" w:lineRule="auto"/>
        <w:contextualSpacing/>
        <w:rPr>
          <w:rFonts w:ascii="Times New Roman" w:eastAsia="Times New Roman" w:hAnsi="Times New Roman" w:cs="Times New Roman"/>
          <w:sz w:val="24"/>
          <w:szCs w:val="24"/>
        </w:rPr>
      </w:pPr>
    </w:p>
    <w:p w14:paraId="6ED91084" w14:textId="5F862CF9" w:rsidR="0075431C" w:rsidRDefault="00BB256B" w:rsidP="00F50C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your final proposal to be formatted/designed for presentation, ASU Enterprise Partners Commun</w:t>
      </w:r>
      <w:r>
        <w:rPr>
          <w:rFonts w:ascii="Times New Roman" w:eastAsia="Times New Roman" w:hAnsi="Times New Roman" w:cs="Times New Roman"/>
          <w:sz w:val="24"/>
          <w:szCs w:val="24"/>
        </w:rPr>
        <w:t xml:space="preserve">ications and Marketing team welcomes the opportunity to serve your needs. Please submit a </w:t>
      </w:r>
      <w:hyperlink r:id="rId7">
        <w:r>
          <w:rPr>
            <w:rFonts w:ascii="Times New Roman" w:eastAsia="Times New Roman" w:hAnsi="Times New Roman" w:cs="Times New Roman"/>
            <w:color w:val="1155CC"/>
            <w:sz w:val="24"/>
            <w:szCs w:val="24"/>
            <w:u w:val="single"/>
          </w:rPr>
          <w:t>project request form</w:t>
        </w:r>
      </w:hyperlink>
      <w:r>
        <w:rPr>
          <w:rFonts w:ascii="Times New Roman" w:eastAsia="Times New Roman" w:hAnsi="Times New Roman" w:cs="Times New Roman"/>
          <w:sz w:val="24"/>
          <w:szCs w:val="24"/>
        </w:rPr>
        <w:t xml:space="preserve"> for design assistance. </w:t>
      </w:r>
    </w:p>
    <w:p w14:paraId="185B8B6C" w14:textId="77777777" w:rsidR="0075431C" w:rsidRDefault="0075431C" w:rsidP="00F50C1A">
      <w:pPr>
        <w:spacing w:after="0" w:line="240" w:lineRule="auto"/>
        <w:contextualSpacing/>
        <w:rPr>
          <w:rFonts w:ascii="Times New Roman" w:eastAsia="Times New Roman" w:hAnsi="Times New Roman" w:cs="Times New Roman"/>
          <w:sz w:val="24"/>
          <w:szCs w:val="24"/>
        </w:rPr>
      </w:pPr>
    </w:p>
    <w:p w14:paraId="0B005E44" w14:textId="77777777" w:rsidR="0075431C" w:rsidRDefault="00BB256B" w:rsidP="00F50C1A">
      <w:pPr>
        <w:pBdr>
          <w:bottom w:val="single" w:sz="4" w:space="1"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Narrative</w:t>
      </w:r>
    </w:p>
    <w:p w14:paraId="282D1ABD" w14:textId="77777777" w:rsidR="0075431C" w:rsidRDefault="0075431C" w:rsidP="00F50C1A">
      <w:pPr>
        <w:spacing w:after="0" w:line="240" w:lineRule="auto"/>
        <w:contextualSpacing/>
        <w:rPr>
          <w:rFonts w:ascii="Times New Roman" w:eastAsia="Times New Roman" w:hAnsi="Times New Roman" w:cs="Times New Roman"/>
          <w:sz w:val="24"/>
          <w:szCs w:val="24"/>
        </w:rPr>
      </w:pPr>
    </w:p>
    <w:p w14:paraId="65679BCD" w14:textId="5302D087" w:rsidR="0075431C" w:rsidRDefault="00BB256B" w:rsidP="00BB256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Introductory Information: </w:t>
      </w:r>
      <w:r>
        <w:rPr>
          <w:rFonts w:ascii="Times New Roman" w:eastAsia="Times New Roman" w:hAnsi="Times New Roman" w:cs="Times New Roman"/>
          <w:i/>
          <w:color w:val="000000"/>
          <w:sz w:val="24"/>
          <w:szCs w:val="24"/>
        </w:rPr>
        <w:t xml:space="preserve">This section should include a concise overview of the institution, your unit and your relationship to the donor. Consider incorporating the ASU Charter or a paragraph explaining our evolution into a New American University. Include your program’s mission, </w:t>
      </w:r>
      <w:r>
        <w:rPr>
          <w:rFonts w:ascii="Times New Roman" w:eastAsia="Times New Roman" w:hAnsi="Times New Roman" w:cs="Times New Roman"/>
          <w:i/>
          <w:color w:val="000000"/>
          <w:sz w:val="24"/>
          <w:szCs w:val="24"/>
        </w:rPr>
        <w:t>history and goals and provide a succinct summary of what you intend to request.  Be sure to connect your project with the funder</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s priorities.</w:t>
      </w:r>
    </w:p>
    <w:p w14:paraId="2E06B4B1" w14:textId="77777777" w:rsidR="00BE303E" w:rsidRDefault="00BE303E" w:rsidP="00BB256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p w14:paraId="52D0EAD4" w14:textId="77777777" w:rsidR="0075431C" w:rsidRDefault="00BB256B"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Example</w:t>
      </w:r>
      <w:r>
        <w:rPr>
          <w:rFonts w:ascii="Times New Roman" w:eastAsia="Times New Roman" w:hAnsi="Times New Roman" w:cs="Times New Roman"/>
          <w:color w:val="000000"/>
          <w:sz w:val="24"/>
          <w:szCs w:val="24"/>
        </w:rPr>
        <w:t>: Arizona State University is proud to host The Doran Community Scholars Program, and deeply appreciative of the Doran family’s continued investment in students from the Phoenix Union High School District. We share your commitment not only to increasing de</w:t>
      </w:r>
      <w:r>
        <w:rPr>
          <w:rFonts w:ascii="Times New Roman" w:eastAsia="Times New Roman" w:hAnsi="Times New Roman" w:cs="Times New Roman"/>
          <w:color w:val="000000"/>
          <w:sz w:val="24"/>
          <w:szCs w:val="24"/>
        </w:rPr>
        <w:t>gree attainment, but also cultivating students who are ready to take their place as innovative and dynamic leaders in their communities and abroad. By providing targeted academic and personal support that increases each student’s chance of completing a deg</w:t>
      </w:r>
      <w:r>
        <w:rPr>
          <w:rFonts w:ascii="Times New Roman" w:eastAsia="Times New Roman" w:hAnsi="Times New Roman" w:cs="Times New Roman"/>
          <w:color w:val="000000"/>
          <w:sz w:val="24"/>
          <w:szCs w:val="24"/>
        </w:rPr>
        <w:t>ree, the Doran program aligns with the central tenet of the ASU Charter—to measure our impact not by whom we exclude, but by whom we include and how they succeed. By developing scholars’ professional and leadership skills, the Doran program advances our as</w:t>
      </w:r>
      <w:r>
        <w:rPr>
          <w:rFonts w:ascii="Times New Roman" w:eastAsia="Times New Roman" w:hAnsi="Times New Roman" w:cs="Times New Roman"/>
          <w:color w:val="000000"/>
          <w:sz w:val="24"/>
          <w:szCs w:val="24"/>
        </w:rPr>
        <w:t xml:space="preserve">piration to assume fundamental responsibility for the economic, social, cultural, and overall health of the communities we serve. </w:t>
      </w:r>
    </w:p>
    <w:p w14:paraId="336E2340" w14:textId="77777777" w:rsidR="00BE303E" w:rsidRDefault="00BE303E" w:rsidP="00BB256B">
      <w:pPr>
        <w:spacing w:after="0" w:line="240" w:lineRule="auto"/>
        <w:ind w:left="720" w:right="720"/>
        <w:contextualSpacing/>
        <w:jc w:val="both"/>
        <w:rPr>
          <w:rFonts w:ascii="Times New Roman" w:eastAsia="Times New Roman" w:hAnsi="Times New Roman" w:cs="Times New Roman"/>
          <w:sz w:val="24"/>
          <w:szCs w:val="24"/>
        </w:rPr>
      </w:pPr>
    </w:p>
    <w:p w14:paraId="33CD9B50" w14:textId="524EC87C"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ASU Foundation for A New American University welcomes the opportunity to present this proposal to advance your legacy at </w:t>
      </w:r>
      <w:r>
        <w:rPr>
          <w:rFonts w:ascii="Times New Roman" w:eastAsia="Times New Roman" w:hAnsi="Times New Roman" w:cs="Times New Roman"/>
          <w:sz w:val="24"/>
          <w:szCs w:val="24"/>
        </w:rPr>
        <w:t>ASU and to ensure the continuation of this inspirational program in perpetuity.</w:t>
      </w:r>
    </w:p>
    <w:p w14:paraId="13E95C11" w14:textId="2E48F8B9" w:rsidR="00BE303E" w:rsidRDefault="00BE303E" w:rsidP="00BB256B">
      <w:pPr>
        <w:spacing w:after="0" w:line="240" w:lineRule="auto"/>
        <w:ind w:right="720"/>
        <w:contextualSpacing/>
        <w:jc w:val="both"/>
        <w:rPr>
          <w:rFonts w:ascii="Times New Roman" w:eastAsia="Times New Roman" w:hAnsi="Times New Roman" w:cs="Times New Roman"/>
          <w:sz w:val="24"/>
          <w:szCs w:val="24"/>
        </w:rPr>
      </w:pPr>
    </w:p>
    <w:p w14:paraId="407A8DE6" w14:textId="77777777" w:rsidR="00BE303E" w:rsidRDefault="00BE303E" w:rsidP="00BB256B">
      <w:pPr>
        <w:spacing w:after="0" w:line="240" w:lineRule="auto"/>
        <w:ind w:right="720"/>
        <w:contextualSpacing/>
        <w:jc w:val="both"/>
        <w:rPr>
          <w:rFonts w:ascii="Times New Roman" w:eastAsia="Times New Roman" w:hAnsi="Times New Roman" w:cs="Times New Roman"/>
          <w:sz w:val="24"/>
          <w:szCs w:val="24"/>
        </w:rPr>
      </w:pPr>
    </w:p>
    <w:p w14:paraId="3C13EBEA" w14:textId="38A28F57" w:rsidR="0075431C" w:rsidRDefault="00BB256B" w:rsidP="00BB25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section should describe the program or project that you wish to fund in detail. Make it clear whether the program is new or well-established and call</w:t>
      </w:r>
      <w:r>
        <w:rPr>
          <w:rFonts w:ascii="Times New Roman" w:eastAsia="Times New Roman" w:hAnsi="Times New Roman" w:cs="Times New Roman"/>
          <w:i/>
          <w:sz w:val="24"/>
          <w:szCs w:val="24"/>
        </w:rPr>
        <w:t xml:space="preserve"> out what makes it innovative or significant. Provide information on the beneficiaries, particularly how many and a demographic profile.  You should also provide detail on the program or project’s leadership, their credibility in the field and their reputa</w:t>
      </w:r>
      <w:r>
        <w:rPr>
          <w:rFonts w:ascii="Times New Roman" w:eastAsia="Times New Roman" w:hAnsi="Times New Roman" w:cs="Times New Roman"/>
          <w:i/>
          <w:sz w:val="24"/>
          <w:szCs w:val="24"/>
        </w:rPr>
        <w:t>tion in the community as necessary.</w:t>
      </w:r>
      <w:r>
        <w:rPr>
          <w:rFonts w:ascii="Times New Roman" w:eastAsia="Times New Roman" w:hAnsi="Times New Roman" w:cs="Times New Roman"/>
          <w:sz w:val="24"/>
          <w:szCs w:val="24"/>
        </w:rPr>
        <w:t xml:space="preserve"> </w:t>
      </w:r>
    </w:p>
    <w:p w14:paraId="4F61CDD4" w14:textId="77777777" w:rsidR="00BE303E" w:rsidRDefault="00BE303E" w:rsidP="00BB256B">
      <w:pPr>
        <w:spacing w:after="0" w:line="240" w:lineRule="auto"/>
        <w:contextualSpacing/>
        <w:jc w:val="both"/>
        <w:rPr>
          <w:rFonts w:ascii="Times New Roman" w:eastAsia="Times New Roman" w:hAnsi="Times New Roman" w:cs="Times New Roman"/>
          <w:sz w:val="24"/>
          <w:szCs w:val="24"/>
        </w:rPr>
      </w:pPr>
    </w:p>
    <w:p w14:paraId="634E48F2" w14:textId="151077C5" w:rsidR="0075431C" w:rsidRDefault="00BB256B"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sidR="00F50C1A">
        <w:rPr>
          <w:rFonts w:ascii="Times New Roman" w:eastAsia="Times New Roman" w:hAnsi="Times New Roman" w:cs="Times New Roman"/>
          <w:b/>
          <w:sz w:val="24"/>
          <w:szCs w:val="24"/>
        </w:rPr>
        <w:t xml:space="preserve"> 1</w:t>
      </w:r>
      <w:r>
        <w:rPr>
          <w:rFonts w:ascii="Times New Roman" w:eastAsia="Times New Roman" w:hAnsi="Times New Roman" w:cs="Times New Roman"/>
          <w:sz w:val="24"/>
          <w:szCs w:val="24"/>
        </w:rPr>
        <w:t>:</w:t>
      </w:r>
      <w:r w:rsidR="00F50C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Cronkite School proposes to spend a full year devoted to reporting </w:t>
      </w:r>
      <w:proofErr w:type="gramStart"/>
      <w:r>
        <w:rPr>
          <w:rFonts w:ascii="Times New Roman" w:eastAsia="Times New Roman" w:hAnsi="Times New Roman" w:cs="Times New Roman"/>
          <w:sz w:val="24"/>
          <w:szCs w:val="24"/>
        </w:rPr>
        <w:t>on the subject of the</w:t>
      </w:r>
      <w:proofErr w:type="gramEnd"/>
      <w:r>
        <w:rPr>
          <w:rFonts w:ascii="Times New Roman" w:eastAsia="Times New Roman" w:hAnsi="Times New Roman" w:cs="Times New Roman"/>
          <w:sz w:val="24"/>
          <w:szCs w:val="24"/>
        </w:rPr>
        <w:t xml:space="preserve"> Verde River, with a dedicated journalism leader who specializes in in-depth environmental journalism who will work wit</w:t>
      </w:r>
      <w:r>
        <w:rPr>
          <w:rFonts w:ascii="Times New Roman" w:eastAsia="Times New Roman" w:hAnsi="Times New Roman" w:cs="Times New Roman"/>
          <w:sz w:val="24"/>
          <w:szCs w:val="24"/>
        </w:rPr>
        <w:t>h a team of talented students, professionals and professors. Under her or his guidance, student journalists will produce and broadly distribute deep, original and data-driven reporting on digital, print and broadcast platforms, illuminating critical issues</w:t>
      </w:r>
      <w:r>
        <w:rPr>
          <w:rFonts w:ascii="Times New Roman" w:eastAsia="Times New Roman" w:hAnsi="Times New Roman" w:cs="Times New Roman"/>
          <w:sz w:val="24"/>
          <w:szCs w:val="24"/>
        </w:rPr>
        <w:t xml:space="preserve"> pertaining to the Verde River. Stories will focus on solutions – including people, communities and initiatives that are working to solve the issues – with the goal of not just pointing out </w:t>
      </w:r>
      <w:proofErr w:type="gramStart"/>
      <w:r>
        <w:rPr>
          <w:rFonts w:ascii="Times New Roman" w:eastAsia="Times New Roman" w:hAnsi="Times New Roman" w:cs="Times New Roman"/>
          <w:sz w:val="24"/>
          <w:szCs w:val="24"/>
        </w:rPr>
        <w:t>problems, but</w:t>
      </w:r>
      <w:proofErr w:type="gramEnd"/>
      <w:r>
        <w:rPr>
          <w:rFonts w:ascii="Times New Roman" w:eastAsia="Times New Roman" w:hAnsi="Times New Roman" w:cs="Times New Roman"/>
          <w:sz w:val="24"/>
          <w:szCs w:val="24"/>
        </w:rPr>
        <w:t xml:space="preserve"> considering what has been done to date and what else</w:t>
      </w:r>
      <w:r>
        <w:rPr>
          <w:rFonts w:ascii="Times New Roman" w:eastAsia="Times New Roman" w:hAnsi="Times New Roman" w:cs="Times New Roman"/>
          <w:sz w:val="24"/>
          <w:szCs w:val="24"/>
        </w:rPr>
        <w:t xml:space="preserve"> could be done going forward to solve those problems.</w:t>
      </w:r>
    </w:p>
    <w:p w14:paraId="146484F5" w14:textId="77777777" w:rsidR="00BE303E" w:rsidRDefault="00BE303E"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sz w:val="24"/>
          <w:szCs w:val="24"/>
        </w:rPr>
      </w:pPr>
    </w:p>
    <w:p w14:paraId="4D515D0E" w14:textId="762213F5" w:rsidR="0075431C" w:rsidRDefault="00BB256B"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initiative would draw on the many experiences, expertise and resources of the Cronkite School, including people such as Knight Chair Sarah Cohen, a Pulitzer Prize-winning journalist who served as th</w:t>
      </w:r>
      <w:r>
        <w:rPr>
          <w:rFonts w:ascii="Times New Roman" w:eastAsia="Times New Roman" w:hAnsi="Times New Roman" w:cs="Times New Roman"/>
          <w:sz w:val="24"/>
          <w:szCs w:val="24"/>
        </w:rPr>
        <w:t xml:space="preserve">e data editor of The New York Times and The Washington Post; Maud </w:t>
      </w:r>
      <w:proofErr w:type="spellStart"/>
      <w:r>
        <w:rPr>
          <w:rFonts w:ascii="Times New Roman" w:eastAsia="Times New Roman" w:hAnsi="Times New Roman" w:cs="Times New Roman"/>
          <w:sz w:val="24"/>
          <w:szCs w:val="24"/>
        </w:rPr>
        <w:t>Beelman</w:t>
      </w:r>
      <w:proofErr w:type="spellEnd"/>
      <w:r>
        <w:rPr>
          <w:rFonts w:ascii="Times New Roman" w:eastAsia="Times New Roman" w:hAnsi="Times New Roman" w:cs="Times New Roman"/>
          <w:sz w:val="24"/>
          <w:szCs w:val="24"/>
        </w:rPr>
        <w:t xml:space="preserve">, the former head of investigations for The Associated Press who now directs the new Howard Center for Investigative Journalism at Cronkite; former Frontline producer Lauren </w:t>
      </w:r>
      <w:proofErr w:type="spellStart"/>
      <w:r>
        <w:rPr>
          <w:rFonts w:ascii="Times New Roman" w:eastAsia="Times New Roman" w:hAnsi="Times New Roman" w:cs="Times New Roman"/>
          <w:sz w:val="24"/>
          <w:szCs w:val="24"/>
        </w:rPr>
        <w:t>Mucciolo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former Arizona Republic Publisher Mi-Ai Parrish; former 12News anchor Vanessa Ruiz; former New York Times correspondent Fernanda Santos and many others. </w:t>
      </w:r>
    </w:p>
    <w:p w14:paraId="09814014" w14:textId="77777777" w:rsidR="00BE303E" w:rsidRDefault="00BE303E"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sz w:val="24"/>
          <w:szCs w:val="24"/>
        </w:rPr>
      </w:pPr>
    </w:p>
    <w:p w14:paraId="26DD598D" w14:textId="7E2E81B2" w:rsidR="00E768CD" w:rsidRDefault="00BB256B"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leader would coordinate the year-long coverage to produce the following: </w:t>
      </w:r>
    </w:p>
    <w:p w14:paraId="52AD7268" w14:textId="77777777" w:rsidR="0075431C" w:rsidRDefault="00BB256B" w:rsidP="00BB256B">
      <w:pPr>
        <w:numPr>
          <w:ilvl w:val="0"/>
          <w:numId w:val="3"/>
        </w:num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full-length d</w:t>
      </w:r>
      <w:r>
        <w:rPr>
          <w:rFonts w:ascii="Times New Roman" w:eastAsia="Times New Roman" w:hAnsi="Times New Roman" w:cs="Times New Roman"/>
          <w:sz w:val="24"/>
          <w:szCs w:val="24"/>
        </w:rPr>
        <w:t>ocumentary to air during primetime on Arizona PBS and to be made available to all other Arizona news organizations</w:t>
      </w:r>
    </w:p>
    <w:p w14:paraId="630ACF6E" w14:textId="77777777" w:rsidR="0075431C" w:rsidRDefault="00BB256B" w:rsidP="00BB256B">
      <w:pPr>
        <w:numPr>
          <w:ilvl w:val="0"/>
          <w:numId w:val="3"/>
        </w:num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Twelve other major stories produced on digital, print, TV and audio platforms, distributed via Arizona PBS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Arizona media partn</w:t>
      </w:r>
      <w:r>
        <w:rPr>
          <w:rFonts w:ascii="Times New Roman" w:eastAsia="Times New Roman" w:hAnsi="Times New Roman" w:cs="Times New Roman"/>
          <w:sz w:val="24"/>
          <w:szCs w:val="24"/>
        </w:rPr>
        <w:t>ers</w:t>
      </w:r>
    </w:p>
    <w:p w14:paraId="30C48C06" w14:textId="77777777" w:rsidR="0075431C" w:rsidRDefault="00BB256B" w:rsidP="00BB256B">
      <w:pPr>
        <w:numPr>
          <w:ilvl w:val="0"/>
          <w:numId w:val="3"/>
        </w:num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many as a dozen feature segments on “Horizon,” the daily public affairs show on Arizona PBS</w:t>
      </w:r>
    </w:p>
    <w:p w14:paraId="7F3C8C94" w14:textId="77777777" w:rsidR="0075431C" w:rsidRDefault="00BB256B" w:rsidP="00BB256B">
      <w:pPr>
        <w:numPr>
          <w:ilvl w:val="0"/>
          <w:numId w:val="3"/>
        </w:num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regular stories throughout the course of the year </w:t>
      </w:r>
    </w:p>
    <w:p w14:paraId="50EA1821" w14:textId="77777777" w:rsidR="0075431C" w:rsidRDefault="00BB256B" w:rsidP="00BB256B">
      <w:pPr>
        <w:numPr>
          <w:ilvl w:val="0"/>
          <w:numId w:val="3"/>
        </w:numPr>
        <w:spacing w:after="0" w:line="240" w:lineRule="auto"/>
        <w:ind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dedicated website and e-magazine to showcase the project’s work  </w:t>
      </w:r>
    </w:p>
    <w:p w14:paraId="221532C7" w14:textId="77777777" w:rsidR="00F50C1A" w:rsidRPr="00F50C1A" w:rsidRDefault="00F50C1A"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bCs/>
          <w:color w:val="000000"/>
          <w:sz w:val="24"/>
          <w:szCs w:val="24"/>
        </w:rPr>
      </w:pPr>
    </w:p>
    <w:p w14:paraId="58F6A5ED" w14:textId="1CDA5834" w:rsidR="0075431C" w:rsidRDefault="00BB256B"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Example</w:t>
      </w:r>
      <w:r w:rsidR="00F50C1A">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Under the leadership of </w:t>
      </w:r>
      <w:r>
        <w:rPr>
          <w:rFonts w:ascii="Times New Roman" w:eastAsia="Times New Roman" w:hAnsi="Times New Roman" w:cs="Times New Roman"/>
          <w:color w:val="000000"/>
          <w:sz w:val="24"/>
          <w:szCs w:val="24"/>
        </w:rPr>
        <w:t>Jean Boyd, a Lan Hewlett Award recipient and co-founder of Scholar Baller, a nonprofit dedicated to the personal and academic development of student athle</w:t>
      </w:r>
      <w:r>
        <w:rPr>
          <w:rFonts w:ascii="Times New Roman" w:eastAsia="Times New Roman" w:hAnsi="Times New Roman" w:cs="Times New Roman"/>
          <w:color w:val="000000"/>
          <w:sz w:val="24"/>
          <w:szCs w:val="24"/>
        </w:rPr>
        <w:t xml:space="preserve">tes, the Office of Student Athlete Development (OSAD) has transformed ASU’s student–athlete development program into a model for innovation in the field. With program features like individual academic assessment and success planning, assistance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choosi</w:t>
      </w:r>
      <w:r>
        <w:rPr>
          <w:rFonts w:ascii="Times New Roman" w:eastAsia="Times New Roman" w:hAnsi="Times New Roman" w:cs="Times New Roman"/>
          <w:color w:val="000000"/>
          <w:sz w:val="24"/>
          <w:szCs w:val="24"/>
        </w:rPr>
        <w:t xml:space="preserve">ng a major and selecting </w:t>
      </w:r>
      <w:r>
        <w:rPr>
          <w:rFonts w:ascii="Times New Roman" w:eastAsia="Times New Roman" w:hAnsi="Times New Roman" w:cs="Times New Roman"/>
          <w:sz w:val="24"/>
          <w:szCs w:val="24"/>
        </w:rPr>
        <w:lastRenderedPageBreak/>
        <w:t xml:space="preserve">classes, </w:t>
      </w:r>
      <w:r>
        <w:rPr>
          <w:rFonts w:ascii="Times New Roman" w:eastAsia="Times New Roman" w:hAnsi="Times New Roman" w:cs="Times New Roman"/>
          <w:color w:val="000000"/>
          <w:sz w:val="24"/>
          <w:szCs w:val="24"/>
        </w:rPr>
        <w:t xml:space="preserve">structured academic study times, academic skill development, tutorial services, and a mentorship program led by former student–athletes, OSAD offers </w:t>
      </w:r>
      <w:r>
        <w:rPr>
          <w:rFonts w:ascii="Times New Roman" w:eastAsia="Times New Roman" w:hAnsi="Times New Roman" w:cs="Times New Roman"/>
          <w:sz w:val="24"/>
          <w:szCs w:val="24"/>
        </w:rPr>
        <w:t xml:space="preserve">ASU’s </w:t>
      </w:r>
      <w:r>
        <w:rPr>
          <w:rFonts w:ascii="Times New Roman" w:eastAsia="Times New Roman" w:hAnsi="Times New Roman" w:cs="Times New Roman"/>
          <w:color w:val="000000"/>
          <w:sz w:val="24"/>
          <w:szCs w:val="24"/>
        </w:rPr>
        <w:t>student–athletes unparalleled academic support. Consequently, the p</w:t>
      </w:r>
      <w:r>
        <w:rPr>
          <w:rFonts w:ascii="Times New Roman" w:eastAsia="Times New Roman" w:hAnsi="Times New Roman" w:cs="Times New Roman"/>
          <w:color w:val="000000"/>
          <w:sz w:val="24"/>
          <w:szCs w:val="24"/>
        </w:rPr>
        <w:t xml:space="preserve">rogram has enjoyed unmitigated success. From 2005 to the present, the graduation rate for ASU student–athletes </w:t>
      </w:r>
      <w:proofErr w:type="gramStart"/>
      <w:r>
        <w:rPr>
          <w:rFonts w:ascii="Times New Roman" w:eastAsia="Times New Roman" w:hAnsi="Times New Roman" w:cs="Times New Roman"/>
          <w:color w:val="000000"/>
          <w:sz w:val="24"/>
          <w:szCs w:val="24"/>
        </w:rPr>
        <w:t>has</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increased </w:t>
      </w:r>
      <w:r>
        <w:rPr>
          <w:rFonts w:ascii="Times New Roman" w:eastAsia="Times New Roman" w:hAnsi="Times New Roman" w:cs="Times New Roman"/>
          <w:color w:val="000000"/>
          <w:sz w:val="24"/>
          <w:szCs w:val="24"/>
        </w:rPr>
        <w:t>from 68 percent to 82 percent, an all-time high, ranking ASU fourth in the Pac–12. ASU student–athletes also have maintained a 3.0+</w:t>
      </w:r>
      <w:r>
        <w:rPr>
          <w:rFonts w:ascii="Times New Roman" w:eastAsia="Times New Roman" w:hAnsi="Times New Roman" w:cs="Times New Roman"/>
          <w:color w:val="000000"/>
          <w:sz w:val="24"/>
          <w:szCs w:val="24"/>
        </w:rPr>
        <w:t xml:space="preserve"> grade point average for six consecutive semesters. Last year, Sun Devil Athletics posted an all-time high NCAA Academic Progress Rate Score, a primary indicator of academic success which translates to high rates of graduation.</w:t>
      </w:r>
    </w:p>
    <w:p w14:paraId="030AF989" w14:textId="77777777" w:rsidR="00E768CD" w:rsidRDefault="00E768CD" w:rsidP="00BB256B">
      <w:pPr>
        <w:spacing w:after="0" w:line="240" w:lineRule="auto"/>
        <w:ind w:left="720" w:right="720"/>
        <w:contextualSpacing/>
        <w:jc w:val="both"/>
        <w:rPr>
          <w:rFonts w:ascii="Times New Roman" w:eastAsia="Times New Roman" w:hAnsi="Times New Roman" w:cs="Times New Roman"/>
          <w:sz w:val="24"/>
          <w:szCs w:val="24"/>
        </w:rPr>
      </w:pPr>
    </w:p>
    <w:p w14:paraId="094863C5" w14:textId="59328AFD"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2013–14 academic year, OSAD served 530 students. With the addition of three new sports in the coming year, we expect that number to grow to more than 600. As OSAD continues to grow its impact, our goals are to increase student–athlete graduation rat</w:t>
      </w:r>
      <w:r>
        <w:rPr>
          <w:rFonts w:ascii="Times New Roman" w:eastAsia="Times New Roman" w:hAnsi="Times New Roman" w:cs="Times New Roman"/>
          <w:sz w:val="24"/>
          <w:szCs w:val="24"/>
        </w:rPr>
        <w:t>es to 85 percent by 2016, and for 90 percent of our student athletes to achieve a consistent 3.1 or above GPA by 2020.</w:t>
      </w:r>
    </w:p>
    <w:p w14:paraId="27DEE3C3" w14:textId="7F91A37C" w:rsidR="00E768CD" w:rsidRDefault="00E768CD" w:rsidP="00BB256B">
      <w:pPr>
        <w:spacing w:after="0" w:line="240" w:lineRule="auto"/>
        <w:ind w:right="720"/>
        <w:contextualSpacing/>
        <w:jc w:val="both"/>
        <w:rPr>
          <w:rFonts w:ascii="Times New Roman" w:eastAsia="Times New Roman" w:hAnsi="Times New Roman" w:cs="Times New Roman"/>
          <w:sz w:val="24"/>
          <w:szCs w:val="24"/>
        </w:rPr>
      </w:pPr>
    </w:p>
    <w:p w14:paraId="1139CF1A" w14:textId="77777777" w:rsidR="00E768CD" w:rsidRDefault="00E768CD" w:rsidP="00BB256B">
      <w:pPr>
        <w:spacing w:after="0" w:line="240" w:lineRule="auto"/>
        <w:ind w:right="720"/>
        <w:contextualSpacing/>
        <w:jc w:val="both"/>
        <w:rPr>
          <w:rFonts w:ascii="Times New Roman" w:eastAsia="Times New Roman" w:hAnsi="Times New Roman" w:cs="Times New Roman"/>
          <w:sz w:val="24"/>
          <w:szCs w:val="24"/>
        </w:rPr>
      </w:pPr>
    </w:p>
    <w:p w14:paraId="5768B4EA" w14:textId="71CAC014" w:rsidR="0075431C" w:rsidRDefault="00BB256B" w:rsidP="00BB256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Need for Support: </w:t>
      </w:r>
      <w:r>
        <w:rPr>
          <w:rFonts w:ascii="Times New Roman" w:eastAsia="Times New Roman" w:hAnsi="Times New Roman" w:cs="Times New Roman"/>
          <w:i/>
          <w:sz w:val="24"/>
          <w:szCs w:val="24"/>
        </w:rPr>
        <w:t>This section should describe the problem that you seek to address, and why it is necessary to address it right now. In</w:t>
      </w:r>
      <w:r>
        <w:rPr>
          <w:rFonts w:ascii="Times New Roman" w:eastAsia="Times New Roman" w:hAnsi="Times New Roman" w:cs="Times New Roman"/>
          <w:i/>
          <w:sz w:val="24"/>
          <w:szCs w:val="24"/>
        </w:rPr>
        <w:t xml:space="preserve">clude data on the people and environments affected by the problem (US Census Bureau, research/media reports, etc.) Describe what has been done about the problem to date and what must be done next. Explain why the time is now to address the problem in this </w:t>
      </w:r>
      <w:proofErr w:type="gramStart"/>
      <w:r>
        <w:rPr>
          <w:rFonts w:ascii="Times New Roman" w:eastAsia="Times New Roman" w:hAnsi="Times New Roman" w:cs="Times New Roman"/>
          <w:i/>
          <w:sz w:val="24"/>
          <w:szCs w:val="24"/>
        </w:rPr>
        <w:t>particular way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b/>
          <w:sz w:val="24"/>
          <w:szCs w:val="24"/>
        </w:rPr>
        <w:t xml:space="preserve">  </w:t>
      </w:r>
    </w:p>
    <w:p w14:paraId="0A37C2D8" w14:textId="77777777" w:rsidR="00E768CD" w:rsidRDefault="00E768CD" w:rsidP="00BB256B">
      <w:pPr>
        <w:spacing w:after="0" w:line="240" w:lineRule="auto"/>
        <w:contextualSpacing/>
        <w:jc w:val="both"/>
        <w:rPr>
          <w:rFonts w:ascii="Times New Roman" w:eastAsia="Times New Roman" w:hAnsi="Times New Roman" w:cs="Times New Roman"/>
          <w:b/>
          <w:sz w:val="24"/>
          <w:szCs w:val="24"/>
        </w:rPr>
      </w:pPr>
    </w:p>
    <w:p w14:paraId="66F15EA8" w14:textId="77777777" w:rsidR="0075431C" w:rsidRDefault="00BB256B"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Example</w:t>
      </w:r>
      <w:r>
        <w:rPr>
          <w:rFonts w:ascii="Times New Roman" w:eastAsia="Times New Roman" w:hAnsi="Times New Roman" w:cs="Times New Roman"/>
          <w:color w:val="000000"/>
          <w:sz w:val="24"/>
          <w:szCs w:val="24"/>
        </w:rPr>
        <w:t>: Despite significant gains in the struggle for equality for LGBTQ individuals and families over the past several years, access to educational and professional resources remains a challenge. A 2013 study from the Point Foundation</w:t>
      </w:r>
      <w:r>
        <w:rPr>
          <w:rFonts w:ascii="Times New Roman" w:eastAsia="Times New Roman" w:hAnsi="Times New Roman" w:cs="Times New Roman"/>
          <w:color w:val="000000"/>
          <w:sz w:val="24"/>
          <w:szCs w:val="24"/>
        </w:rPr>
        <w:t xml:space="preserve"> reveals that nationally, one-third of LGBTQ-identified students seeking financial aid reported the need to delay their undergraduate and/or graduate education due to a lack of affordability, and of those more than 41 percent cited lack of familial support</w:t>
      </w:r>
      <w:r>
        <w:rPr>
          <w:rFonts w:ascii="Times New Roman" w:eastAsia="Times New Roman" w:hAnsi="Times New Roman" w:cs="Times New Roman"/>
          <w:color w:val="000000"/>
          <w:sz w:val="24"/>
          <w:szCs w:val="24"/>
        </w:rPr>
        <w:t xml:space="preserve"> as their reason for financial instability. At ASU, we believe that no student should have to forego the opportunity to earn a college degree based on a lack of family resources, and nowhere is this more important than for </w:t>
      </w:r>
      <w:proofErr w:type="gramStart"/>
      <w:r>
        <w:rPr>
          <w:rFonts w:ascii="Times New Roman" w:eastAsia="Times New Roman" w:hAnsi="Times New Roman" w:cs="Times New Roman"/>
          <w:color w:val="000000"/>
          <w:sz w:val="24"/>
          <w:szCs w:val="24"/>
        </w:rPr>
        <w:t>socially-vulnerable</w:t>
      </w:r>
      <w:proofErr w:type="gramEnd"/>
      <w:r>
        <w:rPr>
          <w:rFonts w:ascii="Times New Roman" w:eastAsia="Times New Roman" w:hAnsi="Times New Roman" w:cs="Times New Roman"/>
          <w:color w:val="000000"/>
          <w:sz w:val="24"/>
          <w:szCs w:val="24"/>
        </w:rPr>
        <w:t xml:space="preserve"> populations.</w:t>
      </w:r>
    </w:p>
    <w:p w14:paraId="18DE172D" w14:textId="77777777" w:rsidR="00E768CD" w:rsidRDefault="00E768CD" w:rsidP="00BB256B">
      <w:pPr>
        <w:spacing w:after="0" w:line="240" w:lineRule="auto"/>
        <w:ind w:left="720" w:right="720"/>
        <w:contextualSpacing/>
        <w:jc w:val="both"/>
        <w:rPr>
          <w:rFonts w:ascii="Times New Roman" w:eastAsia="Times New Roman" w:hAnsi="Times New Roman" w:cs="Times New Roman"/>
          <w:sz w:val="24"/>
          <w:szCs w:val="24"/>
        </w:rPr>
      </w:pPr>
    </w:p>
    <w:p w14:paraId="54C93137" w14:textId="183A8A73"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Mark Bowland Leadership Program will support like-minded individuals who understand the vital importance of education, particularly those for whom the doors of opportunity have not always been open. Bowland Scholars will be aspiring innovators, educato</w:t>
      </w:r>
      <w:r>
        <w:rPr>
          <w:rFonts w:ascii="Times New Roman" w:eastAsia="Times New Roman" w:hAnsi="Times New Roman" w:cs="Times New Roman"/>
          <w:sz w:val="24"/>
          <w:szCs w:val="24"/>
        </w:rPr>
        <w:t>rs, scientists, and artists of great promise, recruited to ASU from high schools and community colleges in Arizona and across the country. They will have a demonstrated record of student leadership and service to the LGBTQ community and, in turn, will gain</w:t>
      </w:r>
      <w:r>
        <w:rPr>
          <w:rFonts w:ascii="Times New Roman" w:eastAsia="Times New Roman" w:hAnsi="Times New Roman" w:cs="Times New Roman"/>
          <w:sz w:val="24"/>
          <w:szCs w:val="24"/>
        </w:rPr>
        <w:t xml:space="preserve"> access to a personally and professionally rewarding academic environment. Resources will be made available by the university to help these scholars hone their leadership skills, preparing them for successful lives and careers after college. These resource</w:t>
      </w:r>
      <w:r>
        <w:rPr>
          <w:rFonts w:ascii="Times New Roman" w:eastAsia="Times New Roman" w:hAnsi="Times New Roman" w:cs="Times New Roman"/>
          <w:sz w:val="24"/>
          <w:szCs w:val="24"/>
        </w:rPr>
        <w:t xml:space="preserve">s will encompass the student experience from orientation through graduation. </w:t>
      </w:r>
    </w:p>
    <w:p w14:paraId="7B26C345" w14:textId="77777777" w:rsidR="00E768CD" w:rsidRDefault="00E768CD" w:rsidP="00BB256B">
      <w:pPr>
        <w:spacing w:after="0" w:line="240" w:lineRule="auto"/>
        <w:ind w:left="720" w:right="720"/>
        <w:contextualSpacing/>
        <w:jc w:val="both"/>
        <w:rPr>
          <w:rFonts w:ascii="Times New Roman" w:eastAsia="Times New Roman" w:hAnsi="Times New Roman" w:cs="Times New Roman"/>
          <w:sz w:val="24"/>
          <w:szCs w:val="24"/>
        </w:rPr>
      </w:pPr>
    </w:p>
    <w:p w14:paraId="4571F12F" w14:textId="1B2BD212"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Bowland Scholars will belong to annual cohorts at ASU and will be guaranteed four-year scholarship funding so long as they maintain award criteria.</w:t>
      </w:r>
    </w:p>
    <w:p w14:paraId="3F3E689F" w14:textId="191E19E4" w:rsidR="0075431C" w:rsidRDefault="0075431C" w:rsidP="00BB256B">
      <w:pPr>
        <w:spacing w:after="0" w:line="240" w:lineRule="auto"/>
        <w:ind w:left="720" w:right="720"/>
        <w:contextualSpacing/>
        <w:jc w:val="both"/>
        <w:rPr>
          <w:rFonts w:ascii="Times New Roman" w:eastAsia="Times New Roman" w:hAnsi="Times New Roman" w:cs="Times New Roman"/>
          <w:sz w:val="24"/>
          <w:szCs w:val="24"/>
        </w:rPr>
      </w:pPr>
    </w:p>
    <w:p w14:paraId="32D401FE" w14:textId="77777777" w:rsidR="00E768CD" w:rsidRDefault="00E768CD" w:rsidP="00BB256B">
      <w:pPr>
        <w:spacing w:after="0" w:line="240" w:lineRule="auto"/>
        <w:ind w:left="720"/>
        <w:contextualSpacing/>
        <w:jc w:val="both"/>
        <w:rPr>
          <w:rFonts w:ascii="Times New Roman" w:eastAsia="Times New Roman" w:hAnsi="Times New Roman" w:cs="Times New Roman"/>
          <w:sz w:val="24"/>
          <w:szCs w:val="24"/>
        </w:rPr>
      </w:pPr>
    </w:p>
    <w:p w14:paraId="58407FB7" w14:textId="0A5D2FAA" w:rsidR="0075431C" w:rsidRDefault="00BB256B" w:rsidP="00BB256B">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Project/Program Goals or Obje</w:t>
      </w:r>
      <w:r>
        <w:rPr>
          <w:rFonts w:ascii="Times New Roman" w:eastAsia="Times New Roman" w:hAnsi="Times New Roman" w:cs="Times New Roman"/>
          <w:b/>
          <w:sz w:val="24"/>
          <w:szCs w:val="24"/>
        </w:rPr>
        <w:t>ctives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section should describe your goals and objectives in detail. You should ensure that outcomes are SMART (Specific, Measurable, Attainable, Relevant &amp; Timebound). </w:t>
      </w:r>
    </w:p>
    <w:p w14:paraId="33FA3DB0" w14:textId="77777777" w:rsidR="00E768CD" w:rsidRPr="00E768CD" w:rsidRDefault="00E768CD" w:rsidP="00BB256B">
      <w:pPr>
        <w:spacing w:after="0" w:line="240" w:lineRule="auto"/>
        <w:contextualSpacing/>
        <w:jc w:val="both"/>
        <w:rPr>
          <w:rFonts w:ascii="Times New Roman" w:eastAsia="Times New Roman" w:hAnsi="Times New Roman" w:cs="Times New Roman"/>
          <w:sz w:val="24"/>
          <w:szCs w:val="24"/>
        </w:rPr>
      </w:pPr>
    </w:p>
    <w:p w14:paraId="3D707529" w14:textId="2249C98C"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Over the three-year period, one hundred and fifty ECSE teacher candidates will a) serve in early childhood settings and classrooms in high need communities during the senior year residency, b) be prepared to support future school and classroom transition</w:t>
      </w:r>
      <w:r>
        <w:rPr>
          <w:rFonts w:ascii="Times New Roman" w:eastAsia="Times New Roman" w:hAnsi="Times New Roman" w:cs="Times New Roman"/>
          <w:sz w:val="24"/>
          <w:szCs w:val="24"/>
        </w:rPr>
        <w:t>s for an ethnically and culturally diverse student body, c) effectively engage parents from diverse cultural backgrounds in their children’s education and d) increase school readiness and academic and social outcomes for diverse groups of students.</w:t>
      </w:r>
    </w:p>
    <w:p w14:paraId="03C5BDC1" w14:textId="221D53DE" w:rsidR="00F50C1A" w:rsidRDefault="00F50C1A" w:rsidP="00BB256B">
      <w:pPr>
        <w:spacing w:after="0" w:line="240" w:lineRule="auto"/>
        <w:contextualSpacing/>
        <w:jc w:val="both"/>
        <w:rPr>
          <w:rFonts w:ascii="Times New Roman" w:eastAsia="Times New Roman" w:hAnsi="Times New Roman" w:cs="Times New Roman"/>
          <w:sz w:val="24"/>
          <w:szCs w:val="24"/>
        </w:rPr>
      </w:pPr>
    </w:p>
    <w:p w14:paraId="5A2737B3" w14:textId="77777777" w:rsidR="00E768CD" w:rsidRDefault="00E768CD" w:rsidP="00BB256B">
      <w:pPr>
        <w:spacing w:after="0" w:line="240" w:lineRule="auto"/>
        <w:contextualSpacing/>
        <w:jc w:val="both"/>
        <w:rPr>
          <w:rFonts w:ascii="Times New Roman" w:eastAsia="Times New Roman" w:hAnsi="Times New Roman" w:cs="Times New Roman"/>
          <w:sz w:val="24"/>
          <w:szCs w:val="24"/>
        </w:rPr>
      </w:pPr>
    </w:p>
    <w:p w14:paraId="1E4B6C08" w14:textId="2D90B5E1" w:rsidR="0075431C" w:rsidRDefault="00BB256B" w:rsidP="00BB256B">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Sustain</w:t>
      </w:r>
      <w:r>
        <w:rPr>
          <w:rFonts w:ascii="Times New Roman" w:eastAsia="Times New Roman" w:hAnsi="Times New Roman" w:cs="Times New Roman"/>
          <w:b/>
          <w:sz w:val="24"/>
          <w:szCs w:val="24"/>
        </w:rPr>
        <w:t>ability/Other Funders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section should explain how your project will be financially sustained beyond the life of the gift. Articulate whether you will rely on an endowment, depend on support from the university, seek funding from other sources, etc. Wi</w:t>
      </w:r>
      <w:r>
        <w:rPr>
          <w:rFonts w:ascii="Times New Roman" w:eastAsia="Times New Roman" w:hAnsi="Times New Roman" w:cs="Times New Roman"/>
          <w:i/>
          <w:sz w:val="24"/>
          <w:szCs w:val="24"/>
        </w:rPr>
        <w:t xml:space="preserve">ll you develop an entrepreneurial element to keep the program going? We recommend that you work with your ORSPA Research Assistant to develop a realistic budget and to ensure that all costs (including shared costs) are accounted for. </w:t>
      </w:r>
    </w:p>
    <w:p w14:paraId="239E4923" w14:textId="77777777" w:rsidR="00E768CD" w:rsidRPr="00E768CD" w:rsidRDefault="00E768CD" w:rsidP="00BB256B">
      <w:pPr>
        <w:spacing w:after="0" w:line="240" w:lineRule="auto"/>
        <w:contextualSpacing/>
        <w:jc w:val="both"/>
        <w:rPr>
          <w:rFonts w:ascii="Times New Roman" w:eastAsia="Times New Roman" w:hAnsi="Times New Roman" w:cs="Times New Roman"/>
          <w:i/>
          <w:iCs/>
          <w:sz w:val="24"/>
          <w:szCs w:val="24"/>
        </w:rPr>
      </w:pPr>
    </w:p>
    <w:p w14:paraId="4E7C22FB" w14:textId="77777777" w:rsidR="0075431C" w:rsidRDefault="00BB256B" w:rsidP="00BB256B">
      <w:pPr>
        <w:spacing w:after="0" w:line="240" w:lineRule="auto"/>
        <w:ind w:left="806"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 1</w:t>
      </w:r>
      <w:r>
        <w:rPr>
          <w:rFonts w:ascii="Times New Roman" w:eastAsia="Times New Roman" w:hAnsi="Times New Roman" w:cs="Times New Roman"/>
          <w:sz w:val="24"/>
          <w:szCs w:val="24"/>
        </w:rPr>
        <w:t>: In additio</w:t>
      </w:r>
      <w:r>
        <w:rPr>
          <w:rFonts w:ascii="Times New Roman" w:eastAsia="Times New Roman" w:hAnsi="Times New Roman" w:cs="Times New Roman"/>
          <w:sz w:val="24"/>
          <w:szCs w:val="24"/>
        </w:rPr>
        <w:t>n to the requested funds, HIDA will dedicate significant resources to the proposed program in the form of faculty appointments, museum staff and exhibition space. We anticipate this investment to be equivalent to the annual payout of a $12 million endowmen</w:t>
      </w:r>
      <w:r>
        <w:rPr>
          <w:rFonts w:ascii="Times New Roman" w:eastAsia="Times New Roman" w:hAnsi="Times New Roman" w:cs="Times New Roman"/>
          <w:sz w:val="24"/>
          <w:szCs w:val="24"/>
        </w:rPr>
        <w:t>t, and would include:</w:t>
      </w:r>
    </w:p>
    <w:p w14:paraId="0B56DA3E" w14:textId="77777777" w:rsidR="0075431C" w:rsidRDefault="00BB256B" w:rsidP="00BB256B">
      <w:pPr>
        <w:numPr>
          <w:ilvl w:val="0"/>
          <w:numId w:val="2"/>
        </w:numPr>
        <w:pBdr>
          <w:top w:val="nil"/>
          <w:left w:val="nil"/>
          <w:bottom w:val="nil"/>
          <w:right w:val="nil"/>
          <w:between w:val="nil"/>
        </w:pBdr>
        <w:spacing w:after="0" w:line="240" w:lineRule="auto"/>
        <w:ind w:left="171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current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the School of Art to teach to Latin American Curatorial Studies </w:t>
      </w:r>
    </w:p>
    <w:p w14:paraId="1DFF34F2" w14:textId="77777777" w:rsidR="0075431C" w:rsidRDefault="00BB256B" w:rsidP="00BB256B">
      <w:pPr>
        <w:numPr>
          <w:ilvl w:val="0"/>
          <w:numId w:val="2"/>
        </w:numPr>
        <w:pBdr>
          <w:top w:val="nil"/>
          <w:left w:val="nil"/>
          <w:bottom w:val="nil"/>
          <w:right w:val="nil"/>
          <w:between w:val="nil"/>
        </w:pBdr>
        <w:spacing w:after="0" w:line="240" w:lineRule="auto"/>
        <w:ind w:left="171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Distinguished Chair salary supported through HIDA funds beginning in year </w:t>
      </w:r>
      <w:r>
        <w:rPr>
          <w:rFonts w:ascii="Times New Roman" w:eastAsia="Times New Roman" w:hAnsi="Times New Roman" w:cs="Times New Roman"/>
          <w:sz w:val="24"/>
          <w:szCs w:val="24"/>
        </w:rPr>
        <w:t>six</w:t>
      </w:r>
    </w:p>
    <w:p w14:paraId="629EF922" w14:textId="77777777" w:rsidR="0075431C" w:rsidRDefault="00BB256B" w:rsidP="00BB256B">
      <w:pPr>
        <w:numPr>
          <w:ilvl w:val="0"/>
          <w:numId w:val="2"/>
        </w:numPr>
        <w:pBdr>
          <w:top w:val="nil"/>
          <w:left w:val="nil"/>
          <w:bottom w:val="nil"/>
          <w:right w:val="nil"/>
          <w:between w:val="nil"/>
        </w:pBdr>
        <w:spacing w:after="0" w:line="240" w:lineRule="auto"/>
        <w:ind w:left="171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Professor of Practice beginning in year </w:t>
      </w:r>
      <w:r>
        <w:rPr>
          <w:rFonts w:ascii="Times New Roman" w:eastAsia="Times New Roman" w:hAnsi="Times New Roman" w:cs="Times New Roman"/>
          <w:sz w:val="24"/>
          <w:szCs w:val="24"/>
        </w:rPr>
        <w:t>six</w:t>
      </w:r>
      <w:r>
        <w:rPr>
          <w:rFonts w:ascii="Times New Roman" w:eastAsia="Times New Roman" w:hAnsi="Times New Roman" w:cs="Times New Roman"/>
          <w:color w:val="000000"/>
          <w:sz w:val="24"/>
          <w:szCs w:val="24"/>
        </w:rPr>
        <w:t>, supported through dedicated retirements from HIDA’s Art History department</w:t>
      </w:r>
    </w:p>
    <w:p w14:paraId="07C889A9" w14:textId="77777777" w:rsidR="0075431C" w:rsidRDefault="00BB256B" w:rsidP="00BB256B">
      <w:pPr>
        <w:numPr>
          <w:ilvl w:val="0"/>
          <w:numId w:val="2"/>
        </w:numPr>
        <w:pBdr>
          <w:top w:val="nil"/>
          <w:left w:val="nil"/>
          <w:bottom w:val="nil"/>
          <w:right w:val="nil"/>
          <w:between w:val="nil"/>
        </w:pBdr>
        <w:spacing w:after="0" w:line="240" w:lineRule="auto"/>
        <w:ind w:left="171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ASU Museum Curator – HIDA will support 50% of the</w:t>
      </w:r>
      <w:r>
        <w:rPr>
          <w:rFonts w:ascii="Times New Roman" w:eastAsia="Times New Roman" w:hAnsi="Times New Roman" w:cs="Times New Roman"/>
          <w:color w:val="000000"/>
          <w:sz w:val="24"/>
          <w:szCs w:val="24"/>
        </w:rPr>
        <w:t xml:space="preserve"> curator’s salary in the Center’s first </w:t>
      </w:r>
      <w:r>
        <w:rPr>
          <w:rFonts w:ascii="Times New Roman" w:eastAsia="Times New Roman" w:hAnsi="Times New Roman" w:cs="Times New Roman"/>
          <w:sz w:val="24"/>
          <w:szCs w:val="24"/>
        </w:rPr>
        <w:t xml:space="preserve">five </w:t>
      </w:r>
      <w:r>
        <w:rPr>
          <w:rFonts w:ascii="Times New Roman" w:eastAsia="Times New Roman" w:hAnsi="Times New Roman" w:cs="Times New Roman"/>
          <w:color w:val="000000"/>
          <w:sz w:val="24"/>
          <w:szCs w:val="24"/>
        </w:rPr>
        <w:t>years and 100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from the Center’s </w:t>
      </w:r>
      <w:r>
        <w:rPr>
          <w:rFonts w:ascii="Times New Roman" w:eastAsia="Times New Roman" w:hAnsi="Times New Roman" w:cs="Times New Roman"/>
          <w:sz w:val="24"/>
          <w:szCs w:val="24"/>
        </w:rPr>
        <w:t xml:space="preserve">sixth </w:t>
      </w:r>
      <w:r>
        <w:rPr>
          <w:rFonts w:ascii="Times New Roman" w:eastAsia="Times New Roman" w:hAnsi="Times New Roman" w:cs="Times New Roman"/>
          <w:color w:val="000000"/>
          <w:sz w:val="24"/>
          <w:szCs w:val="24"/>
        </w:rPr>
        <w:t>year forward</w:t>
      </w:r>
    </w:p>
    <w:p w14:paraId="3355D8FC" w14:textId="0A6899BC" w:rsidR="0075431C" w:rsidRDefault="00BB256B" w:rsidP="00BB256B">
      <w:pPr>
        <w:numPr>
          <w:ilvl w:val="0"/>
          <w:numId w:val="2"/>
        </w:numPr>
        <w:pBdr>
          <w:top w:val="nil"/>
          <w:left w:val="nil"/>
          <w:bottom w:val="nil"/>
          <w:right w:val="nil"/>
          <w:between w:val="nil"/>
        </w:pBdr>
        <w:spacing w:after="0" w:line="240" w:lineRule="auto"/>
        <w:ind w:left="1710" w:righ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One </w:t>
      </w:r>
      <w:r>
        <w:rPr>
          <w:rFonts w:ascii="Times New Roman" w:eastAsia="Times New Roman" w:hAnsi="Times New Roman" w:cs="Times New Roman"/>
          <w:color w:val="000000"/>
          <w:sz w:val="24"/>
          <w:szCs w:val="24"/>
        </w:rPr>
        <w:t>staff position to support the ASU Museum</w:t>
      </w:r>
    </w:p>
    <w:p w14:paraId="69DE88DA" w14:textId="77777777" w:rsidR="00E768CD" w:rsidRDefault="00E768CD" w:rsidP="00BB256B">
      <w:pPr>
        <w:pBdr>
          <w:top w:val="nil"/>
          <w:left w:val="nil"/>
          <w:bottom w:val="nil"/>
          <w:right w:val="nil"/>
          <w:between w:val="nil"/>
        </w:pBdr>
        <w:spacing w:after="0" w:line="240" w:lineRule="auto"/>
        <w:ind w:right="720"/>
        <w:contextualSpacing/>
        <w:jc w:val="both"/>
        <w:rPr>
          <w:rFonts w:ascii="Times New Roman" w:eastAsia="Times New Roman" w:hAnsi="Times New Roman" w:cs="Times New Roman"/>
          <w:color w:val="000000"/>
          <w:sz w:val="24"/>
          <w:szCs w:val="24"/>
        </w:rPr>
      </w:pPr>
    </w:p>
    <w:p w14:paraId="7F72050C" w14:textId="77777777"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 2</w:t>
      </w:r>
      <w:r>
        <w:rPr>
          <w:rFonts w:ascii="Times New Roman" w:eastAsia="Times New Roman" w:hAnsi="Times New Roman" w:cs="Times New Roman"/>
          <w:sz w:val="24"/>
          <w:szCs w:val="24"/>
        </w:rPr>
        <w:t xml:space="preserve">: To underscore our deep belief in the Howard Center for Investigative Reporting and the importance we place on our ongoing partnership with the Scripps Howard Foundation, we have designed a proposed budget that maximizes Cronkite’s financial contribution </w:t>
      </w:r>
      <w:r>
        <w:rPr>
          <w:rFonts w:ascii="Times New Roman" w:eastAsia="Times New Roman" w:hAnsi="Times New Roman" w:cs="Times New Roman"/>
          <w:sz w:val="24"/>
          <w:szCs w:val="24"/>
        </w:rPr>
        <w:t>to the Center. The proposed budget calls for an ASU contribution of $1.3 million in funding and resources over three years to add to the Scripps Howard Foundation’s generous $3 million investment – adding 43 percent more to the Foundation’s gift and greatl</w:t>
      </w:r>
      <w:r>
        <w:rPr>
          <w:rFonts w:ascii="Times New Roman" w:eastAsia="Times New Roman" w:hAnsi="Times New Roman" w:cs="Times New Roman"/>
          <w:sz w:val="24"/>
          <w:szCs w:val="24"/>
        </w:rPr>
        <w:t>y increasing the scope and impact of the Howard Center. Our ability to contribute our own resources – people, space, funding, leadership and technology – to the Howard Center for Investigative Reporting means that not only can we provide an unparalleled op</w:t>
      </w:r>
      <w:r>
        <w:rPr>
          <w:rFonts w:ascii="Times New Roman" w:eastAsia="Times New Roman" w:hAnsi="Times New Roman" w:cs="Times New Roman"/>
          <w:sz w:val="24"/>
          <w:szCs w:val="24"/>
        </w:rPr>
        <w:t>portunity for the next generation of great investigative reporters, but we also can provide tuition waivers, stipends and travel funds directly to those students. Please find budget details enclosed.</w:t>
      </w:r>
    </w:p>
    <w:p w14:paraId="5438A4D4" w14:textId="77777777" w:rsidR="0075431C" w:rsidRDefault="0075431C" w:rsidP="00BB256B">
      <w:pPr>
        <w:pBdr>
          <w:top w:val="nil"/>
          <w:left w:val="nil"/>
          <w:bottom w:val="nil"/>
          <w:right w:val="nil"/>
          <w:between w:val="nil"/>
        </w:pBdr>
        <w:spacing w:after="0" w:line="240" w:lineRule="auto"/>
        <w:ind w:left="720" w:right="720"/>
        <w:contextualSpacing/>
        <w:jc w:val="both"/>
        <w:rPr>
          <w:rFonts w:ascii="Times New Roman" w:eastAsia="Times New Roman" w:hAnsi="Times New Roman" w:cs="Times New Roman"/>
          <w:sz w:val="24"/>
          <w:szCs w:val="24"/>
        </w:rPr>
      </w:pPr>
    </w:p>
    <w:p w14:paraId="1C184271" w14:textId="0B50C66E" w:rsidR="0075431C" w:rsidRDefault="00BB256B" w:rsidP="00BB256B">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b/>
          <w:sz w:val="24"/>
          <w:szCs w:val="24"/>
        </w:rPr>
        <w:t>Budget/Budget Narrative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 this section, you should a</w:t>
      </w:r>
      <w:r>
        <w:rPr>
          <w:rFonts w:ascii="Times New Roman" w:eastAsia="Times New Roman" w:hAnsi="Times New Roman" w:cs="Times New Roman"/>
          <w:i/>
          <w:sz w:val="24"/>
          <w:szCs w:val="24"/>
        </w:rPr>
        <w:t xml:space="preserve">lways use the donor’s requested format, if one is provided. If none is provided, be sure to include total costs broken down into common categories (personnel, equipment, travel, supplies, contracting fees,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i/>
          <w:sz w:val="24"/>
          <w:szCs w:val="24"/>
        </w:rPr>
        <w:t>). Include any cost sharing details and clearly</w:t>
      </w:r>
      <w:r>
        <w:rPr>
          <w:rFonts w:ascii="Times New Roman" w:eastAsia="Times New Roman" w:hAnsi="Times New Roman" w:cs="Times New Roman"/>
          <w:i/>
          <w:sz w:val="24"/>
          <w:szCs w:val="24"/>
        </w:rPr>
        <w:t xml:space="preserve"> identify all other expected sources of funding if they exist. Break out multi-year expenses clearly and provide a detailed justification describing every major expense. Carefully review the funder’s limitations regarding indirect costs. </w:t>
      </w:r>
    </w:p>
    <w:p w14:paraId="34D933C4" w14:textId="77777777" w:rsidR="00BB256B" w:rsidRPr="00BB256B" w:rsidRDefault="00BB256B" w:rsidP="00BB256B">
      <w:pPr>
        <w:spacing w:after="0" w:line="240" w:lineRule="auto"/>
        <w:contextualSpacing/>
        <w:jc w:val="both"/>
        <w:rPr>
          <w:rFonts w:ascii="Times New Roman" w:eastAsia="Times New Roman" w:hAnsi="Times New Roman" w:cs="Times New Roman"/>
          <w:iCs/>
          <w:sz w:val="24"/>
          <w:szCs w:val="24"/>
        </w:rPr>
      </w:pPr>
    </w:p>
    <w:p w14:paraId="69B9B254" w14:textId="77777777" w:rsidR="0075431C" w:rsidRDefault="00BB256B" w:rsidP="00BB256B">
      <w:pPr>
        <w:spacing w:after="0" w:line="240" w:lineRule="auto"/>
        <w:ind w:left="720" w:right="63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A founda</w:t>
      </w:r>
      <w:r>
        <w:rPr>
          <w:rFonts w:ascii="Times New Roman" w:eastAsia="Times New Roman" w:hAnsi="Times New Roman" w:cs="Times New Roman"/>
          <w:sz w:val="24"/>
          <w:szCs w:val="24"/>
        </w:rPr>
        <w:t>tional investment from the McGraw family will ensure that the Harold W. McGraw, Jr. Prize in Education continues to inspire new generations of educators and innovators in perpetuity. The following budget reflects the establishment of a $30 million endowmen</w:t>
      </w:r>
      <w:r>
        <w:rPr>
          <w:rFonts w:ascii="Times New Roman" w:eastAsia="Times New Roman" w:hAnsi="Times New Roman" w:cs="Times New Roman"/>
          <w:sz w:val="24"/>
          <w:szCs w:val="24"/>
        </w:rPr>
        <w:t>t, with an estimated annual payout of approximately $1 million. We welcome the opportunity to discuss the more precise details of a giving strategy, which could include flexible structures to assure the prize program is funded while the principal endowment</w:t>
      </w:r>
      <w:r>
        <w:rPr>
          <w:rFonts w:ascii="Times New Roman" w:eastAsia="Times New Roman" w:hAnsi="Times New Roman" w:cs="Times New Roman"/>
          <w:sz w:val="24"/>
          <w:szCs w:val="24"/>
        </w:rPr>
        <w:t xml:space="preserve"> is built over time. </w:t>
      </w:r>
    </w:p>
    <w:p w14:paraId="13FB3316" w14:textId="77777777" w:rsidR="0075431C" w:rsidRDefault="0075431C" w:rsidP="00F50C1A">
      <w:pPr>
        <w:spacing w:after="0" w:line="240" w:lineRule="auto"/>
        <w:ind w:left="720" w:right="630"/>
        <w:contextualSpacing/>
        <w:jc w:val="both"/>
        <w:rPr>
          <w:rFonts w:ascii="Times New Roman" w:eastAsia="Times New Roman" w:hAnsi="Times New Roman" w:cs="Times New Roman"/>
          <w:sz w:val="24"/>
          <w:szCs w:val="24"/>
        </w:rPr>
      </w:pPr>
    </w:p>
    <w:tbl>
      <w:tblPr>
        <w:tblStyle w:val="a"/>
        <w:tblW w:w="80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1890"/>
      </w:tblGrid>
      <w:tr w:rsidR="0075431C" w:rsidRPr="00BB256B" w14:paraId="240C3A4B" w14:textId="77777777">
        <w:tc>
          <w:tcPr>
            <w:tcW w:w="6120" w:type="dxa"/>
          </w:tcPr>
          <w:p w14:paraId="26E37C0E" w14:textId="77777777" w:rsidR="0075431C" w:rsidRPr="00BB256B" w:rsidRDefault="0075431C" w:rsidP="00F50C1A">
            <w:pPr>
              <w:pBdr>
                <w:top w:val="nil"/>
                <w:left w:val="nil"/>
                <w:bottom w:val="nil"/>
                <w:right w:val="nil"/>
                <w:between w:val="nil"/>
              </w:pBdr>
              <w:tabs>
                <w:tab w:val="left" w:pos="2790"/>
              </w:tabs>
              <w:contextualSpacing/>
              <w:rPr>
                <w:rFonts w:ascii="Times New Roman" w:eastAsia="Times New Roman" w:hAnsi="Times New Roman" w:cs="Times New Roman"/>
                <w:b/>
                <w:color w:val="8B1C40"/>
                <w:sz w:val="20"/>
                <w:szCs w:val="20"/>
              </w:rPr>
            </w:pPr>
          </w:p>
        </w:tc>
        <w:tc>
          <w:tcPr>
            <w:tcW w:w="1890" w:type="dxa"/>
          </w:tcPr>
          <w:p w14:paraId="001AED3F" w14:textId="77777777" w:rsidR="0075431C" w:rsidRPr="00BB256B" w:rsidRDefault="00BB256B" w:rsidP="00F50C1A">
            <w:pPr>
              <w:pBdr>
                <w:top w:val="nil"/>
                <w:left w:val="nil"/>
                <w:bottom w:val="nil"/>
                <w:right w:val="nil"/>
                <w:between w:val="nil"/>
              </w:pBdr>
              <w:tabs>
                <w:tab w:val="left" w:pos="2790"/>
              </w:tabs>
              <w:contextualSpacing/>
              <w:jc w:val="center"/>
              <w:rPr>
                <w:rFonts w:ascii="Times New Roman" w:eastAsia="Times New Roman" w:hAnsi="Times New Roman" w:cs="Times New Roman"/>
                <w:b/>
                <w:color w:val="8B1C40"/>
                <w:sz w:val="20"/>
                <w:szCs w:val="20"/>
              </w:rPr>
            </w:pPr>
            <w:r w:rsidRPr="00BB256B">
              <w:rPr>
                <w:rFonts w:ascii="Times New Roman" w:eastAsia="Times New Roman" w:hAnsi="Times New Roman" w:cs="Times New Roman"/>
                <w:b/>
                <w:color w:val="8B1C40"/>
                <w:sz w:val="20"/>
                <w:szCs w:val="20"/>
              </w:rPr>
              <w:t>McGraw Family Investment</w:t>
            </w:r>
          </w:p>
        </w:tc>
      </w:tr>
      <w:tr w:rsidR="0075431C" w:rsidRPr="00BB256B" w14:paraId="04F12547" w14:textId="77777777">
        <w:tc>
          <w:tcPr>
            <w:tcW w:w="6120" w:type="dxa"/>
          </w:tcPr>
          <w:p w14:paraId="04250FC4" w14:textId="77777777" w:rsidR="0075431C" w:rsidRPr="00BB256B" w:rsidRDefault="00BB256B" w:rsidP="00F50C1A">
            <w:pPr>
              <w:pBdr>
                <w:top w:val="nil"/>
                <w:left w:val="nil"/>
                <w:bottom w:val="nil"/>
                <w:right w:val="nil"/>
                <w:between w:val="nil"/>
              </w:pBdr>
              <w:contextualSpacing/>
              <w:rPr>
                <w:rFonts w:ascii="Times New Roman" w:eastAsia="Times New Roman" w:hAnsi="Times New Roman" w:cs="Times New Roman"/>
                <w:b/>
                <w:smallCaps/>
                <w:color w:val="8B1C40"/>
                <w:sz w:val="20"/>
                <w:szCs w:val="20"/>
              </w:rPr>
            </w:pPr>
            <w:r w:rsidRPr="00BB256B">
              <w:rPr>
                <w:rFonts w:ascii="Times New Roman" w:eastAsia="Times New Roman" w:hAnsi="Times New Roman" w:cs="Times New Roman"/>
                <w:b/>
                <w:smallCaps/>
                <w:color w:val="8B1C40"/>
                <w:sz w:val="20"/>
                <w:szCs w:val="20"/>
              </w:rPr>
              <w:t>EXECUTIVE ADMINISTRATION</w:t>
            </w:r>
            <w:r w:rsidRPr="00BB256B">
              <w:rPr>
                <w:rFonts w:ascii="Times New Roman" w:eastAsia="Times New Roman" w:hAnsi="Times New Roman" w:cs="Times New Roman"/>
                <w:b/>
                <w:smallCaps/>
                <w:color w:val="8B1C40"/>
                <w:sz w:val="20"/>
                <w:szCs w:val="20"/>
              </w:rPr>
              <w:tab/>
            </w:r>
          </w:p>
        </w:tc>
        <w:tc>
          <w:tcPr>
            <w:tcW w:w="1890" w:type="dxa"/>
          </w:tcPr>
          <w:p w14:paraId="1CDA7CC4" w14:textId="77777777" w:rsidR="0075431C" w:rsidRPr="00BB256B" w:rsidRDefault="0075431C" w:rsidP="00F50C1A">
            <w:pPr>
              <w:pBdr>
                <w:top w:val="nil"/>
                <w:left w:val="nil"/>
                <w:bottom w:val="nil"/>
                <w:right w:val="nil"/>
                <w:between w:val="nil"/>
              </w:pBdr>
              <w:contextualSpacing/>
              <w:jc w:val="right"/>
              <w:rPr>
                <w:rFonts w:ascii="Times New Roman" w:eastAsia="Times New Roman" w:hAnsi="Times New Roman" w:cs="Times New Roman"/>
                <w:b/>
                <w:smallCaps/>
                <w:color w:val="8B1C40"/>
                <w:sz w:val="20"/>
                <w:szCs w:val="20"/>
              </w:rPr>
            </w:pPr>
          </w:p>
        </w:tc>
      </w:tr>
      <w:tr w:rsidR="0075431C" w:rsidRPr="00BB256B" w14:paraId="628056D7" w14:textId="77777777">
        <w:tc>
          <w:tcPr>
            <w:tcW w:w="6120" w:type="dxa"/>
          </w:tcPr>
          <w:p w14:paraId="322FBF81"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Distinguished Director of the McGraw Prize in Education (wages &amp; benefits)</w:t>
            </w:r>
          </w:p>
        </w:tc>
        <w:tc>
          <w:tcPr>
            <w:tcW w:w="1890" w:type="dxa"/>
          </w:tcPr>
          <w:p w14:paraId="6CD27FDE"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$175,750</w:t>
            </w:r>
          </w:p>
        </w:tc>
      </w:tr>
      <w:tr w:rsidR="0075431C" w:rsidRPr="00BB256B" w14:paraId="77D474FA" w14:textId="77777777">
        <w:tc>
          <w:tcPr>
            <w:tcW w:w="6120" w:type="dxa"/>
          </w:tcPr>
          <w:p w14:paraId="70906539"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McGraw Prize Event &amp; Program Coordinator</w:t>
            </w:r>
          </w:p>
        </w:tc>
        <w:tc>
          <w:tcPr>
            <w:tcW w:w="1890" w:type="dxa"/>
          </w:tcPr>
          <w:p w14:paraId="6E8823DB"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$47,000</w:t>
            </w:r>
          </w:p>
        </w:tc>
      </w:tr>
      <w:tr w:rsidR="0075431C" w:rsidRPr="00BB256B" w14:paraId="1C7BD3A4" w14:textId="77777777">
        <w:tc>
          <w:tcPr>
            <w:tcW w:w="6120" w:type="dxa"/>
          </w:tcPr>
          <w:p w14:paraId="2C9894BB"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Honoraria for board members and jurors</w:t>
            </w:r>
          </w:p>
        </w:tc>
        <w:tc>
          <w:tcPr>
            <w:tcW w:w="1890" w:type="dxa"/>
          </w:tcPr>
          <w:p w14:paraId="748E91C9"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$40,000</w:t>
            </w:r>
          </w:p>
        </w:tc>
      </w:tr>
      <w:tr w:rsidR="0075431C" w:rsidRPr="00BB256B" w14:paraId="3E2F9892" w14:textId="77777777">
        <w:tc>
          <w:tcPr>
            <w:tcW w:w="6120" w:type="dxa"/>
          </w:tcPr>
          <w:p w14:paraId="55730BB9"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Research, administrative support &amp; supplies</w:t>
            </w:r>
          </w:p>
        </w:tc>
        <w:tc>
          <w:tcPr>
            <w:tcW w:w="1890" w:type="dxa"/>
          </w:tcPr>
          <w:p w14:paraId="3995AD8C"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$40,000</w:t>
            </w:r>
          </w:p>
        </w:tc>
      </w:tr>
      <w:tr w:rsidR="0075431C" w:rsidRPr="00BB256B" w14:paraId="39481EEB" w14:textId="77777777">
        <w:tc>
          <w:tcPr>
            <w:tcW w:w="6120" w:type="dxa"/>
          </w:tcPr>
          <w:p w14:paraId="42FCE22B" w14:textId="77777777" w:rsidR="0075431C" w:rsidRPr="00BB256B" w:rsidRDefault="00BB256B" w:rsidP="00F50C1A">
            <w:pPr>
              <w:contextualSpacing/>
              <w:rPr>
                <w:rFonts w:ascii="Times New Roman" w:eastAsia="Times New Roman" w:hAnsi="Times New Roman" w:cs="Times New Roman"/>
                <w:b/>
                <w:sz w:val="20"/>
                <w:szCs w:val="20"/>
              </w:rPr>
            </w:pPr>
            <w:r w:rsidRPr="00BB256B">
              <w:rPr>
                <w:rFonts w:ascii="Times New Roman" w:eastAsia="Times New Roman" w:hAnsi="Times New Roman" w:cs="Times New Roman"/>
                <w:b/>
                <w:sz w:val="20"/>
                <w:szCs w:val="20"/>
              </w:rPr>
              <w:t>Subtotal</w:t>
            </w:r>
          </w:p>
        </w:tc>
        <w:tc>
          <w:tcPr>
            <w:tcW w:w="1890" w:type="dxa"/>
          </w:tcPr>
          <w:p w14:paraId="7A7D703F" w14:textId="77777777" w:rsidR="0075431C" w:rsidRPr="00BB256B" w:rsidRDefault="00BB256B" w:rsidP="00F50C1A">
            <w:pPr>
              <w:contextualSpacing/>
              <w:jc w:val="right"/>
              <w:rPr>
                <w:rFonts w:ascii="Times New Roman" w:eastAsia="Times New Roman" w:hAnsi="Times New Roman" w:cs="Times New Roman"/>
                <w:b/>
                <w:sz w:val="20"/>
                <w:szCs w:val="20"/>
              </w:rPr>
            </w:pPr>
            <w:r w:rsidRPr="00BB256B">
              <w:rPr>
                <w:rFonts w:ascii="Times New Roman" w:eastAsia="Times New Roman" w:hAnsi="Times New Roman" w:cs="Times New Roman"/>
                <w:b/>
                <w:sz w:val="20"/>
                <w:szCs w:val="20"/>
              </w:rPr>
              <w:t>$302,750</w:t>
            </w:r>
          </w:p>
        </w:tc>
      </w:tr>
      <w:tr w:rsidR="0075431C" w:rsidRPr="00BB256B" w14:paraId="254C96F4" w14:textId="77777777">
        <w:tc>
          <w:tcPr>
            <w:tcW w:w="6120" w:type="dxa"/>
          </w:tcPr>
          <w:p w14:paraId="1ED6E4EE" w14:textId="77777777" w:rsidR="0075431C" w:rsidRPr="00BB256B" w:rsidRDefault="0075431C" w:rsidP="00F50C1A">
            <w:pPr>
              <w:contextualSpacing/>
              <w:rPr>
                <w:rFonts w:ascii="Times New Roman" w:eastAsia="Times New Roman" w:hAnsi="Times New Roman" w:cs="Times New Roman"/>
                <w:sz w:val="20"/>
                <w:szCs w:val="20"/>
              </w:rPr>
            </w:pPr>
          </w:p>
        </w:tc>
        <w:tc>
          <w:tcPr>
            <w:tcW w:w="1890" w:type="dxa"/>
          </w:tcPr>
          <w:p w14:paraId="351943D8" w14:textId="77777777" w:rsidR="0075431C" w:rsidRPr="00BB256B" w:rsidRDefault="0075431C" w:rsidP="00F50C1A">
            <w:pPr>
              <w:contextualSpacing/>
              <w:jc w:val="right"/>
              <w:rPr>
                <w:rFonts w:ascii="Times New Roman" w:eastAsia="Times New Roman" w:hAnsi="Times New Roman" w:cs="Times New Roman"/>
                <w:sz w:val="20"/>
                <w:szCs w:val="20"/>
              </w:rPr>
            </w:pPr>
          </w:p>
        </w:tc>
      </w:tr>
      <w:tr w:rsidR="0075431C" w:rsidRPr="00BB256B" w14:paraId="0326B4D4" w14:textId="77777777">
        <w:tc>
          <w:tcPr>
            <w:tcW w:w="6120" w:type="dxa"/>
          </w:tcPr>
          <w:p w14:paraId="0647CE2F" w14:textId="77777777" w:rsidR="0075431C" w:rsidRPr="00BB256B" w:rsidRDefault="00BB256B" w:rsidP="00F50C1A">
            <w:pPr>
              <w:pBdr>
                <w:top w:val="nil"/>
                <w:left w:val="nil"/>
                <w:bottom w:val="nil"/>
                <w:right w:val="nil"/>
                <w:between w:val="nil"/>
              </w:pBdr>
              <w:tabs>
                <w:tab w:val="left" w:pos="5490"/>
              </w:tabs>
              <w:contextualSpacing/>
              <w:rPr>
                <w:rFonts w:ascii="Times New Roman" w:eastAsia="Times New Roman" w:hAnsi="Times New Roman" w:cs="Times New Roman"/>
                <w:b/>
                <w:smallCaps/>
                <w:color w:val="000000"/>
                <w:sz w:val="20"/>
                <w:szCs w:val="20"/>
                <w:u w:val="single"/>
              </w:rPr>
            </w:pPr>
            <w:r w:rsidRPr="00BB256B">
              <w:rPr>
                <w:rFonts w:ascii="Times New Roman" w:eastAsia="Times New Roman" w:hAnsi="Times New Roman" w:cs="Times New Roman"/>
                <w:b/>
                <w:smallCaps/>
                <w:color w:val="8B1C40"/>
                <w:sz w:val="20"/>
                <w:szCs w:val="20"/>
              </w:rPr>
              <w:t>AWARD CEREMONY</w:t>
            </w:r>
            <w:r w:rsidRPr="00BB256B">
              <w:rPr>
                <w:rFonts w:ascii="Times New Roman" w:eastAsia="Times New Roman" w:hAnsi="Times New Roman" w:cs="Times New Roman"/>
                <w:b/>
                <w:smallCaps/>
                <w:color w:val="8B1C40"/>
                <w:sz w:val="20"/>
                <w:szCs w:val="20"/>
              </w:rPr>
              <w:tab/>
            </w:r>
          </w:p>
        </w:tc>
        <w:tc>
          <w:tcPr>
            <w:tcW w:w="1890" w:type="dxa"/>
          </w:tcPr>
          <w:p w14:paraId="0BBD95C1" w14:textId="77777777" w:rsidR="0075431C" w:rsidRPr="00BB256B" w:rsidRDefault="0075431C" w:rsidP="00F50C1A">
            <w:pPr>
              <w:contextualSpacing/>
              <w:jc w:val="right"/>
              <w:rPr>
                <w:rFonts w:ascii="Times New Roman" w:eastAsia="Times New Roman" w:hAnsi="Times New Roman" w:cs="Times New Roman"/>
                <w:sz w:val="20"/>
                <w:szCs w:val="20"/>
              </w:rPr>
            </w:pPr>
          </w:p>
        </w:tc>
      </w:tr>
      <w:tr w:rsidR="0075431C" w:rsidRPr="00BB256B" w14:paraId="770CDDCA" w14:textId="77777777">
        <w:tc>
          <w:tcPr>
            <w:tcW w:w="6120" w:type="dxa"/>
          </w:tcPr>
          <w:p w14:paraId="7EF3E6D4"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Harold W. McGraw Prize in Education Fund (3 winners annually)</w:t>
            </w:r>
          </w:p>
        </w:tc>
        <w:tc>
          <w:tcPr>
            <w:tcW w:w="1890" w:type="dxa"/>
          </w:tcPr>
          <w:p w14:paraId="6DEB4D99"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$300,000</w:t>
            </w:r>
          </w:p>
        </w:tc>
      </w:tr>
      <w:tr w:rsidR="0075431C" w:rsidRPr="00BB256B" w14:paraId="43E976F5" w14:textId="77777777">
        <w:tc>
          <w:tcPr>
            <w:tcW w:w="6120" w:type="dxa"/>
          </w:tcPr>
          <w:p w14:paraId="43A58E49"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Award Statue</w:t>
            </w:r>
          </w:p>
        </w:tc>
        <w:tc>
          <w:tcPr>
            <w:tcW w:w="1890" w:type="dxa"/>
          </w:tcPr>
          <w:p w14:paraId="415062C2"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$10,000</w:t>
            </w:r>
          </w:p>
        </w:tc>
      </w:tr>
      <w:tr w:rsidR="0075431C" w:rsidRPr="00BB256B" w14:paraId="7752E99D" w14:textId="77777777">
        <w:tc>
          <w:tcPr>
            <w:tcW w:w="6120" w:type="dxa"/>
          </w:tcPr>
          <w:p w14:paraId="6E855D9B"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ASU GSV Sponsorship</w:t>
            </w:r>
          </w:p>
        </w:tc>
        <w:tc>
          <w:tcPr>
            <w:tcW w:w="1890" w:type="dxa"/>
          </w:tcPr>
          <w:p w14:paraId="0D6503E4"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$50,000</w:t>
            </w:r>
          </w:p>
        </w:tc>
      </w:tr>
      <w:tr w:rsidR="0075431C" w:rsidRPr="00BB256B" w14:paraId="4F3FD63C" w14:textId="77777777">
        <w:tc>
          <w:tcPr>
            <w:tcW w:w="6120" w:type="dxa"/>
          </w:tcPr>
          <w:p w14:paraId="42D9172F"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Event Production (Audio/Visual, lighting, etc.)</w:t>
            </w:r>
          </w:p>
        </w:tc>
        <w:tc>
          <w:tcPr>
            <w:tcW w:w="1890" w:type="dxa"/>
          </w:tcPr>
          <w:p w14:paraId="1D5B3653"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$180,000</w:t>
            </w:r>
          </w:p>
        </w:tc>
      </w:tr>
      <w:tr w:rsidR="0075431C" w:rsidRPr="00BB256B" w14:paraId="605EF381" w14:textId="77777777">
        <w:tc>
          <w:tcPr>
            <w:tcW w:w="6120" w:type="dxa"/>
          </w:tcPr>
          <w:p w14:paraId="5F0A8B98"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Food &amp; Beverage</w:t>
            </w:r>
          </w:p>
        </w:tc>
        <w:tc>
          <w:tcPr>
            <w:tcW w:w="1890" w:type="dxa"/>
          </w:tcPr>
          <w:p w14:paraId="329A3138"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$125,000</w:t>
            </w:r>
          </w:p>
        </w:tc>
      </w:tr>
      <w:tr w:rsidR="0075431C" w:rsidRPr="00BB256B" w14:paraId="524F2B71" w14:textId="77777777">
        <w:tc>
          <w:tcPr>
            <w:tcW w:w="6120" w:type="dxa"/>
          </w:tcPr>
          <w:p w14:paraId="35B0849D"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Speaker Fees &amp; Honoraria</w:t>
            </w:r>
          </w:p>
        </w:tc>
        <w:tc>
          <w:tcPr>
            <w:tcW w:w="1890" w:type="dxa"/>
          </w:tcPr>
          <w:p w14:paraId="4FDC5253"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$100,000</w:t>
            </w:r>
          </w:p>
        </w:tc>
      </w:tr>
      <w:tr w:rsidR="0075431C" w:rsidRPr="00BB256B" w14:paraId="23FF1F07" w14:textId="77777777">
        <w:tc>
          <w:tcPr>
            <w:tcW w:w="6120" w:type="dxa"/>
          </w:tcPr>
          <w:p w14:paraId="42428077"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Event Photographer &amp; Promotional Expenses</w:t>
            </w:r>
          </w:p>
        </w:tc>
        <w:tc>
          <w:tcPr>
            <w:tcW w:w="1890" w:type="dxa"/>
          </w:tcPr>
          <w:p w14:paraId="0C473D16"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$12,000</w:t>
            </w:r>
          </w:p>
        </w:tc>
      </w:tr>
      <w:tr w:rsidR="0075431C" w:rsidRPr="00BB256B" w14:paraId="3D1F4C65" w14:textId="77777777">
        <w:tc>
          <w:tcPr>
            <w:tcW w:w="6120" w:type="dxa"/>
          </w:tcPr>
          <w:p w14:paraId="0D562590"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b/>
                <w:sz w:val="20"/>
                <w:szCs w:val="20"/>
              </w:rPr>
              <w:t>Subtotal</w:t>
            </w:r>
          </w:p>
        </w:tc>
        <w:tc>
          <w:tcPr>
            <w:tcW w:w="1890" w:type="dxa"/>
          </w:tcPr>
          <w:p w14:paraId="3CEBCCDF"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b/>
                <w:sz w:val="20"/>
                <w:szCs w:val="20"/>
              </w:rPr>
              <w:t>$777,000</w:t>
            </w:r>
          </w:p>
        </w:tc>
      </w:tr>
      <w:tr w:rsidR="0075431C" w:rsidRPr="00BB256B" w14:paraId="12C0E881" w14:textId="77777777">
        <w:tc>
          <w:tcPr>
            <w:tcW w:w="6120" w:type="dxa"/>
          </w:tcPr>
          <w:p w14:paraId="74C2A02C" w14:textId="77777777" w:rsidR="0075431C" w:rsidRPr="00BB256B" w:rsidRDefault="0075431C" w:rsidP="00F50C1A">
            <w:pPr>
              <w:contextualSpacing/>
              <w:rPr>
                <w:rFonts w:ascii="Times New Roman" w:eastAsia="Times New Roman" w:hAnsi="Times New Roman" w:cs="Times New Roman"/>
                <w:b/>
                <w:sz w:val="20"/>
                <w:szCs w:val="20"/>
              </w:rPr>
            </w:pPr>
          </w:p>
        </w:tc>
        <w:tc>
          <w:tcPr>
            <w:tcW w:w="1890" w:type="dxa"/>
          </w:tcPr>
          <w:p w14:paraId="69879DE2" w14:textId="77777777" w:rsidR="0075431C" w:rsidRPr="00BB256B" w:rsidRDefault="0075431C" w:rsidP="00F50C1A">
            <w:pPr>
              <w:contextualSpacing/>
              <w:jc w:val="right"/>
              <w:rPr>
                <w:rFonts w:ascii="Times New Roman" w:eastAsia="Times New Roman" w:hAnsi="Times New Roman" w:cs="Times New Roman"/>
                <w:b/>
                <w:sz w:val="20"/>
                <w:szCs w:val="20"/>
              </w:rPr>
            </w:pPr>
          </w:p>
        </w:tc>
      </w:tr>
      <w:tr w:rsidR="0075431C" w:rsidRPr="00BB256B" w14:paraId="6AB5B35E" w14:textId="77777777">
        <w:tc>
          <w:tcPr>
            <w:tcW w:w="6120" w:type="dxa"/>
          </w:tcPr>
          <w:p w14:paraId="0DA46AF1" w14:textId="77777777" w:rsidR="0075431C" w:rsidRPr="00BB256B" w:rsidRDefault="00BB256B" w:rsidP="00F50C1A">
            <w:pPr>
              <w:pBdr>
                <w:top w:val="nil"/>
                <w:left w:val="nil"/>
                <w:bottom w:val="nil"/>
                <w:right w:val="nil"/>
                <w:between w:val="nil"/>
              </w:pBdr>
              <w:tabs>
                <w:tab w:val="left" w:pos="5490"/>
              </w:tabs>
              <w:contextualSpacing/>
              <w:rPr>
                <w:rFonts w:ascii="Times New Roman" w:eastAsia="Times New Roman" w:hAnsi="Times New Roman" w:cs="Times New Roman"/>
                <w:b/>
                <w:smallCaps/>
                <w:color w:val="8B1C40"/>
                <w:sz w:val="20"/>
                <w:szCs w:val="20"/>
              </w:rPr>
            </w:pPr>
            <w:r w:rsidRPr="00BB256B">
              <w:rPr>
                <w:rFonts w:ascii="Times New Roman" w:eastAsia="Times New Roman" w:hAnsi="Times New Roman" w:cs="Times New Roman"/>
                <w:b/>
                <w:smallCaps/>
                <w:color w:val="8B1C40"/>
                <w:sz w:val="20"/>
                <w:szCs w:val="20"/>
              </w:rPr>
              <w:t>PROMOTION</w:t>
            </w:r>
          </w:p>
        </w:tc>
        <w:tc>
          <w:tcPr>
            <w:tcW w:w="1890" w:type="dxa"/>
          </w:tcPr>
          <w:p w14:paraId="77A75D5D" w14:textId="77777777" w:rsidR="0075431C" w:rsidRPr="00BB256B" w:rsidRDefault="0075431C" w:rsidP="00F50C1A">
            <w:pPr>
              <w:pBdr>
                <w:top w:val="nil"/>
                <w:left w:val="nil"/>
                <w:bottom w:val="nil"/>
                <w:right w:val="nil"/>
                <w:between w:val="nil"/>
              </w:pBdr>
              <w:tabs>
                <w:tab w:val="left" w:pos="5490"/>
              </w:tabs>
              <w:contextualSpacing/>
              <w:rPr>
                <w:rFonts w:ascii="Times New Roman" w:eastAsia="Times New Roman" w:hAnsi="Times New Roman" w:cs="Times New Roman"/>
                <w:b/>
                <w:smallCaps/>
                <w:color w:val="8B1C40"/>
                <w:sz w:val="20"/>
                <w:szCs w:val="20"/>
              </w:rPr>
            </w:pPr>
          </w:p>
        </w:tc>
      </w:tr>
      <w:tr w:rsidR="0075431C" w:rsidRPr="00BB256B" w14:paraId="416B0156" w14:textId="77777777">
        <w:tc>
          <w:tcPr>
            <w:tcW w:w="6120" w:type="dxa"/>
          </w:tcPr>
          <w:p w14:paraId="57AEFD48"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Prize website</w:t>
            </w:r>
          </w:p>
        </w:tc>
        <w:tc>
          <w:tcPr>
            <w:tcW w:w="1890" w:type="dxa"/>
          </w:tcPr>
          <w:p w14:paraId="6F378EB7"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$5,000</w:t>
            </w:r>
          </w:p>
        </w:tc>
      </w:tr>
      <w:tr w:rsidR="0075431C" w:rsidRPr="00BB256B" w14:paraId="5482C742" w14:textId="77777777">
        <w:tc>
          <w:tcPr>
            <w:tcW w:w="6120" w:type="dxa"/>
          </w:tcPr>
          <w:p w14:paraId="411F07A6"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Social media</w:t>
            </w:r>
          </w:p>
        </w:tc>
        <w:tc>
          <w:tcPr>
            <w:tcW w:w="1890" w:type="dxa"/>
          </w:tcPr>
          <w:p w14:paraId="5E75491D"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$25,000</w:t>
            </w:r>
          </w:p>
        </w:tc>
      </w:tr>
      <w:tr w:rsidR="0075431C" w:rsidRPr="00BB256B" w14:paraId="7B503B75" w14:textId="77777777">
        <w:tc>
          <w:tcPr>
            <w:tcW w:w="6120" w:type="dxa"/>
          </w:tcPr>
          <w:p w14:paraId="38231421"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Travel &amp; Expenses for awardees, board members, staff</w:t>
            </w:r>
          </w:p>
        </w:tc>
        <w:tc>
          <w:tcPr>
            <w:tcW w:w="1890" w:type="dxa"/>
          </w:tcPr>
          <w:p w14:paraId="34C81812"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$30,000</w:t>
            </w:r>
          </w:p>
        </w:tc>
      </w:tr>
      <w:tr w:rsidR="0075431C" w:rsidRPr="00BB256B" w14:paraId="53A6F13C" w14:textId="77777777">
        <w:tc>
          <w:tcPr>
            <w:tcW w:w="6120" w:type="dxa"/>
          </w:tcPr>
          <w:p w14:paraId="5005FE4D"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b/>
                <w:sz w:val="20"/>
                <w:szCs w:val="20"/>
              </w:rPr>
              <w:t>Subtotal</w:t>
            </w:r>
          </w:p>
        </w:tc>
        <w:tc>
          <w:tcPr>
            <w:tcW w:w="1890" w:type="dxa"/>
          </w:tcPr>
          <w:p w14:paraId="10F9A120" w14:textId="77777777" w:rsidR="0075431C" w:rsidRPr="00BB256B" w:rsidRDefault="00BB256B" w:rsidP="00F50C1A">
            <w:pPr>
              <w:contextualSpacing/>
              <w:jc w:val="right"/>
              <w:rPr>
                <w:rFonts w:ascii="Times New Roman" w:eastAsia="Times New Roman" w:hAnsi="Times New Roman" w:cs="Times New Roman"/>
                <w:sz w:val="20"/>
                <w:szCs w:val="20"/>
              </w:rPr>
            </w:pPr>
            <w:r w:rsidRPr="00BB256B">
              <w:rPr>
                <w:rFonts w:ascii="Times New Roman" w:eastAsia="Times New Roman" w:hAnsi="Times New Roman" w:cs="Times New Roman"/>
                <w:b/>
                <w:sz w:val="20"/>
                <w:szCs w:val="20"/>
              </w:rPr>
              <w:t>$60,000</w:t>
            </w:r>
          </w:p>
        </w:tc>
      </w:tr>
      <w:tr w:rsidR="0075431C" w:rsidRPr="00BB256B" w14:paraId="10990AB6" w14:textId="77777777">
        <w:tc>
          <w:tcPr>
            <w:tcW w:w="6120" w:type="dxa"/>
          </w:tcPr>
          <w:p w14:paraId="468175DF" w14:textId="77777777" w:rsidR="0075431C" w:rsidRPr="00BB256B" w:rsidRDefault="0075431C" w:rsidP="00F50C1A">
            <w:pPr>
              <w:contextualSpacing/>
              <w:rPr>
                <w:rFonts w:ascii="Times New Roman" w:eastAsia="Times New Roman" w:hAnsi="Times New Roman" w:cs="Times New Roman"/>
                <w:b/>
                <w:sz w:val="20"/>
                <w:szCs w:val="20"/>
              </w:rPr>
            </w:pPr>
          </w:p>
        </w:tc>
        <w:tc>
          <w:tcPr>
            <w:tcW w:w="1890" w:type="dxa"/>
          </w:tcPr>
          <w:p w14:paraId="6F93B524" w14:textId="77777777" w:rsidR="0075431C" w:rsidRPr="00BB256B" w:rsidRDefault="0075431C" w:rsidP="00F50C1A">
            <w:pPr>
              <w:contextualSpacing/>
              <w:jc w:val="right"/>
              <w:rPr>
                <w:rFonts w:ascii="Times New Roman" w:eastAsia="Times New Roman" w:hAnsi="Times New Roman" w:cs="Times New Roman"/>
                <w:b/>
                <w:sz w:val="20"/>
                <w:szCs w:val="20"/>
              </w:rPr>
            </w:pPr>
          </w:p>
        </w:tc>
      </w:tr>
      <w:tr w:rsidR="0075431C" w:rsidRPr="00BB256B" w14:paraId="6CFE5A47" w14:textId="77777777">
        <w:trPr>
          <w:trHeight w:val="219"/>
        </w:trPr>
        <w:tc>
          <w:tcPr>
            <w:tcW w:w="6120" w:type="dxa"/>
          </w:tcPr>
          <w:p w14:paraId="5A3C997E" w14:textId="77777777" w:rsidR="0075431C" w:rsidRPr="00BB256B" w:rsidRDefault="00BB256B" w:rsidP="00F50C1A">
            <w:pPr>
              <w:tabs>
                <w:tab w:val="left" w:pos="5490"/>
              </w:tabs>
              <w:contextualSpacing/>
              <w:rPr>
                <w:rFonts w:ascii="Times New Roman" w:eastAsia="Times New Roman" w:hAnsi="Times New Roman" w:cs="Times New Roman"/>
                <w:b/>
                <w:sz w:val="20"/>
                <w:szCs w:val="20"/>
              </w:rPr>
            </w:pPr>
            <w:r w:rsidRPr="00BB256B">
              <w:rPr>
                <w:rFonts w:ascii="Times New Roman" w:eastAsia="Times New Roman" w:hAnsi="Times New Roman" w:cs="Times New Roman"/>
                <w:b/>
                <w:smallCaps/>
                <w:color w:val="8B1C40"/>
                <w:sz w:val="20"/>
                <w:szCs w:val="20"/>
              </w:rPr>
              <w:t>INDIRECT COSTS</w:t>
            </w:r>
          </w:p>
        </w:tc>
        <w:tc>
          <w:tcPr>
            <w:tcW w:w="1890" w:type="dxa"/>
          </w:tcPr>
          <w:p w14:paraId="61D96B83" w14:textId="77777777" w:rsidR="0075431C" w:rsidRPr="00BB256B" w:rsidRDefault="0075431C" w:rsidP="00F50C1A">
            <w:pPr>
              <w:contextualSpacing/>
              <w:jc w:val="right"/>
              <w:rPr>
                <w:rFonts w:ascii="Times New Roman" w:eastAsia="Times New Roman" w:hAnsi="Times New Roman" w:cs="Times New Roman"/>
                <w:b/>
                <w:sz w:val="20"/>
                <w:szCs w:val="20"/>
              </w:rPr>
            </w:pPr>
          </w:p>
        </w:tc>
      </w:tr>
      <w:tr w:rsidR="0075431C" w:rsidRPr="00BB256B" w14:paraId="57DC4F6B" w14:textId="77777777">
        <w:tc>
          <w:tcPr>
            <w:tcW w:w="6120" w:type="dxa"/>
          </w:tcPr>
          <w:p w14:paraId="74DA3FE3" w14:textId="77777777" w:rsidR="0075431C" w:rsidRPr="00BB256B" w:rsidRDefault="00BB256B" w:rsidP="00F50C1A">
            <w:pPr>
              <w:contextualSpacing/>
              <w:rPr>
                <w:rFonts w:ascii="Times New Roman" w:eastAsia="Times New Roman" w:hAnsi="Times New Roman" w:cs="Times New Roman"/>
                <w:sz w:val="20"/>
                <w:szCs w:val="20"/>
              </w:rPr>
            </w:pPr>
            <w:r w:rsidRPr="00BB256B">
              <w:rPr>
                <w:rFonts w:ascii="Times New Roman" w:eastAsia="Times New Roman" w:hAnsi="Times New Roman" w:cs="Times New Roman"/>
                <w:sz w:val="20"/>
                <w:szCs w:val="20"/>
              </w:rPr>
              <w:t>ASUF Administrative fee @ 5%</w:t>
            </w:r>
          </w:p>
        </w:tc>
        <w:tc>
          <w:tcPr>
            <w:tcW w:w="1890" w:type="dxa"/>
          </w:tcPr>
          <w:p w14:paraId="73D1EF75" w14:textId="77777777" w:rsidR="0075431C" w:rsidRPr="00BB256B" w:rsidRDefault="00BB256B" w:rsidP="00F50C1A">
            <w:pPr>
              <w:contextualSpacing/>
              <w:jc w:val="right"/>
              <w:rPr>
                <w:rFonts w:ascii="Times New Roman" w:eastAsia="Times New Roman" w:hAnsi="Times New Roman" w:cs="Times New Roman"/>
                <w:b/>
                <w:sz w:val="20"/>
                <w:szCs w:val="20"/>
              </w:rPr>
            </w:pPr>
            <w:r w:rsidRPr="00BB256B">
              <w:rPr>
                <w:rFonts w:ascii="Times New Roman" w:eastAsia="Times New Roman" w:hAnsi="Times New Roman" w:cs="Times New Roman"/>
                <w:b/>
                <w:sz w:val="20"/>
                <w:szCs w:val="20"/>
              </w:rPr>
              <w:t>$55,986.84</w:t>
            </w:r>
          </w:p>
        </w:tc>
      </w:tr>
      <w:tr w:rsidR="0075431C" w:rsidRPr="00BB256B" w14:paraId="18B276C6" w14:textId="77777777">
        <w:tc>
          <w:tcPr>
            <w:tcW w:w="6120" w:type="dxa"/>
          </w:tcPr>
          <w:p w14:paraId="39DF95B6" w14:textId="77777777" w:rsidR="0075431C" w:rsidRPr="00BB256B" w:rsidRDefault="0075431C" w:rsidP="00F50C1A">
            <w:pPr>
              <w:contextualSpacing/>
              <w:rPr>
                <w:rFonts w:ascii="Times New Roman" w:eastAsia="Times New Roman" w:hAnsi="Times New Roman" w:cs="Times New Roman"/>
                <w:b/>
                <w:sz w:val="20"/>
                <w:szCs w:val="20"/>
              </w:rPr>
            </w:pPr>
          </w:p>
        </w:tc>
        <w:tc>
          <w:tcPr>
            <w:tcW w:w="1890" w:type="dxa"/>
          </w:tcPr>
          <w:p w14:paraId="517F38CA" w14:textId="77777777" w:rsidR="0075431C" w:rsidRPr="00BB256B" w:rsidRDefault="0075431C" w:rsidP="00F50C1A">
            <w:pPr>
              <w:contextualSpacing/>
              <w:jc w:val="right"/>
              <w:rPr>
                <w:rFonts w:ascii="Times New Roman" w:eastAsia="Times New Roman" w:hAnsi="Times New Roman" w:cs="Times New Roman"/>
                <w:b/>
                <w:sz w:val="20"/>
                <w:szCs w:val="20"/>
              </w:rPr>
            </w:pPr>
          </w:p>
        </w:tc>
      </w:tr>
      <w:tr w:rsidR="0075431C" w:rsidRPr="00BB256B" w14:paraId="1AFF3680" w14:textId="77777777">
        <w:tc>
          <w:tcPr>
            <w:tcW w:w="6120" w:type="dxa"/>
          </w:tcPr>
          <w:p w14:paraId="11835828" w14:textId="77777777" w:rsidR="0075431C" w:rsidRPr="00BB256B" w:rsidRDefault="00BB256B" w:rsidP="00F50C1A">
            <w:pPr>
              <w:pBdr>
                <w:top w:val="nil"/>
                <w:left w:val="nil"/>
                <w:bottom w:val="nil"/>
                <w:right w:val="nil"/>
                <w:between w:val="nil"/>
              </w:pBdr>
              <w:tabs>
                <w:tab w:val="left" w:pos="5490"/>
              </w:tabs>
              <w:contextualSpacing/>
              <w:rPr>
                <w:rFonts w:ascii="Times New Roman" w:eastAsia="Times New Roman" w:hAnsi="Times New Roman" w:cs="Times New Roman"/>
                <w:b/>
                <w:smallCaps/>
                <w:color w:val="8B1C40"/>
                <w:sz w:val="20"/>
                <w:szCs w:val="20"/>
              </w:rPr>
            </w:pPr>
            <w:r w:rsidRPr="00BB256B">
              <w:rPr>
                <w:rFonts w:ascii="Times New Roman" w:eastAsia="Times New Roman" w:hAnsi="Times New Roman" w:cs="Times New Roman"/>
                <w:b/>
                <w:smallCaps/>
                <w:color w:val="8B1C40"/>
                <w:sz w:val="20"/>
                <w:szCs w:val="20"/>
              </w:rPr>
              <w:t>TOTAL INVESTMENT</w:t>
            </w:r>
          </w:p>
        </w:tc>
        <w:tc>
          <w:tcPr>
            <w:tcW w:w="1890" w:type="dxa"/>
          </w:tcPr>
          <w:p w14:paraId="76D9C248" w14:textId="77777777" w:rsidR="0075431C" w:rsidRPr="00BB256B" w:rsidRDefault="00BB256B" w:rsidP="00F50C1A">
            <w:pPr>
              <w:pBdr>
                <w:top w:val="nil"/>
                <w:left w:val="nil"/>
                <w:bottom w:val="nil"/>
                <w:right w:val="nil"/>
                <w:between w:val="nil"/>
              </w:pBdr>
              <w:tabs>
                <w:tab w:val="left" w:pos="5490"/>
              </w:tabs>
              <w:contextualSpacing/>
              <w:jc w:val="right"/>
              <w:rPr>
                <w:rFonts w:ascii="Times New Roman" w:eastAsia="Times New Roman" w:hAnsi="Times New Roman" w:cs="Times New Roman"/>
                <w:b/>
                <w:smallCaps/>
                <w:color w:val="8B1C40"/>
                <w:sz w:val="20"/>
                <w:szCs w:val="20"/>
              </w:rPr>
            </w:pPr>
            <w:r w:rsidRPr="00BB256B">
              <w:rPr>
                <w:rFonts w:ascii="Times New Roman" w:eastAsia="Times New Roman" w:hAnsi="Times New Roman" w:cs="Times New Roman"/>
                <w:b/>
                <w:smallCaps/>
                <w:color w:val="8B1C40"/>
                <w:sz w:val="20"/>
                <w:szCs w:val="20"/>
              </w:rPr>
              <w:t>$1,1</w:t>
            </w:r>
            <w:r w:rsidRPr="00BB256B">
              <w:rPr>
                <w:rFonts w:ascii="Times New Roman" w:eastAsia="Times New Roman" w:hAnsi="Times New Roman" w:cs="Times New Roman"/>
                <w:b/>
                <w:smallCaps/>
                <w:color w:val="8B1C40"/>
                <w:sz w:val="20"/>
                <w:szCs w:val="20"/>
              </w:rPr>
              <w:t>99,737</w:t>
            </w:r>
            <w:r w:rsidRPr="00BB256B">
              <w:rPr>
                <w:rFonts w:ascii="Times New Roman" w:eastAsia="Times New Roman" w:hAnsi="Times New Roman" w:cs="Times New Roman"/>
                <w:b/>
                <w:smallCaps/>
                <w:color w:val="8B1C40"/>
                <w:sz w:val="20"/>
                <w:szCs w:val="20"/>
              </w:rPr>
              <w:t>,750</w:t>
            </w:r>
          </w:p>
        </w:tc>
      </w:tr>
    </w:tbl>
    <w:p w14:paraId="4BDA872B" w14:textId="77777777" w:rsidR="0075431C" w:rsidRDefault="0075431C" w:rsidP="00F50C1A">
      <w:pPr>
        <w:spacing w:after="0" w:line="240" w:lineRule="auto"/>
        <w:contextualSpacing/>
        <w:rPr>
          <w:rFonts w:ascii="Times New Roman" w:eastAsia="Times New Roman" w:hAnsi="Times New Roman" w:cs="Times New Roman"/>
          <w:sz w:val="24"/>
          <w:szCs w:val="24"/>
        </w:rPr>
      </w:pPr>
    </w:p>
    <w:p w14:paraId="19805F14" w14:textId="0BA3BCD3" w:rsidR="0075431C" w:rsidRDefault="00BB256B" w:rsidP="00BB25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w:t>
      </w:r>
      <w:r>
        <w:rPr>
          <w:rFonts w:ascii="Times New Roman" w:eastAsia="Times New Roman" w:hAnsi="Times New Roman" w:cs="Times New Roman"/>
          <w:sz w:val="24"/>
          <w:szCs w:val="24"/>
        </w:rPr>
        <w:t xml:space="preserve">note: If you are working with the Office of Research and Sponsored Project Administration (ORSPA), the administrative fee total (ASUF + ORSPA) is the maximum rate permitted by the granting organization or 11% of </w:t>
      </w:r>
      <w:r>
        <w:rPr>
          <w:rFonts w:ascii="Times New Roman" w:eastAsia="Times New Roman" w:hAnsi="Times New Roman" w:cs="Times New Roman"/>
          <w:b/>
          <w:sz w:val="24"/>
          <w:szCs w:val="24"/>
        </w:rPr>
        <w:t>direct costs</w:t>
      </w:r>
      <w:r>
        <w:rPr>
          <w:rFonts w:ascii="Times New Roman" w:eastAsia="Times New Roman" w:hAnsi="Times New Roman" w:cs="Times New Roman"/>
          <w:sz w:val="24"/>
          <w:szCs w:val="24"/>
        </w:rPr>
        <w:t xml:space="preserve">.  If you are only working with </w:t>
      </w:r>
      <w:r>
        <w:rPr>
          <w:rFonts w:ascii="Times New Roman" w:eastAsia="Times New Roman" w:hAnsi="Times New Roman" w:cs="Times New Roman"/>
          <w:sz w:val="24"/>
          <w:szCs w:val="24"/>
        </w:rPr>
        <w:t xml:space="preserve">ASUF, the fee is the maximum rate permitted by the granting organization or 5% of the </w:t>
      </w:r>
      <w:r>
        <w:rPr>
          <w:rFonts w:ascii="Times New Roman" w:eastAsia="Times New Roman" w:hAnsi="Times New Roman" w:cs="Times New Roman"/>
          <w:b/>
          <w:sz w:val="24"/>
          <w:szCs w:val="24"/>
        </w:rPr>
        <w:t xml:space="preserve">total gift/ask </w:t>
      </w:r>
      <w:proofErr w:type="gramStart"/>
      <w:r>
        <w:rPr>
          <w:rFonts w:ascii="Times New Roman" w:eastAsia="Times New Roman" w:hAnsi="Times New Roman" w:cs="Times New Roman"/>
          <w:b/>
          <w:sz w:val="24"/>
          <w:szCs w:val="24"/>
        </w:rPr>
        <w:t>amount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238F9D3B" w14:textId="578FAB36" w:rsidR="00BB256B" w:rsidRDefault="00BB256B" w:rsidP="00BB256B">
      <w:pPr>
        <w:spacing w:after="0" w:line="240" w:lineRule="auto"/>
        <w:contextualSpacing/>
        <w:jc w:val="both"/>
        <w:rPr>
          <w:rFonts w:ascii="Times New Roman" w:eastAsia="Times New Roman" w:hAnsi="Times New Roman" w:cs="Times New Roman"/>
          <w:sz w:val="24"/>
          <w:szCs w:val="24"/>
        </w:rPr>
      </w:pPr>
    </w:p>
    <w:p w14:paraId="3DA81B19" w14:textId="77777777" w:rsidR="00BB256B" w:rsidRDefault="00BB256B" w:rsidP="00BB256B">
      <w:pPr>
        <w:spacing w:after="0" w:line="240" w:lineRule="auto"/>
        <w:contextualSpacing/>
        <w:jc w:val="both"/>
        <w:rPr>
          <w:rFonts w:ascii="Times New Roman" w:eastAsia="Times New Roman" w:hAnsi="Times New Roman" w:cs="Times New Roman"/>
          <w:sz w:val="24"/>
          <w:szCs w:val="24"/>
        </w:rPr>
      </w:pPr>
    </w:p>
    <w:p w14:paraId="6CCC4FAA" w14:textId="752457CF" w:rsidR="0075431C" w:rsidRDefault="00BB256B" w:rsidP="00BB256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Provide a brief but powerful statement tying the proposal together, reiterating the need for the investment and the impact this gift </w:t>
      </w:r>
      <w:r>
        <w:rPr>
          <w:rFonts w:ascii="Times New Roman" w:eastAsia="Times New Roman" w:hAnsi="Times New Roman" w:cs="Times New Roman"/>
          <w:i/>
          <w:sz w:val="24"/>
          <w:szCs w:val="24"/>
        </w:rPr>
        <w:t>will make. Thank the donor for their consideration and reconnect the project to the donor’s funding priorities. Don’t overdo it and don’t substitute fluff for substance.</w:t>
      </w:r>
      <w:r>
        <w:rPr>
          <w:rFonts w:ascii="Times New Roman" w:eastAsia="Times New Roman" w:hAnsi="Times New Roman" w:cs="Times New Roman"/>
          <w:sz w:val="24"/>
          <w:szCs w:val="24"/>
        </w:rPr>
        <w:t xml:space="preserve"> </w:t>
      </w:r>
    </w:p>
    <w:p w14:paraId="0E499637" w14:textId="77777777" w:rsidR="00BB256B" w:rsidRDefault="00BB256B" w:rsidP="00BB256B">
      <w:pPr>
        <w:spacing w:after="0" w:line="240" w:lineRule="auto"/>
        <w:contextualSpacing/>
        <w:jc w:val="both"/>
        <w:rPr>
          <w:rFonts w:ascii="Times New Roman" w:eastAsia="Times New Roman" w:hAnsi="Times New Roman" w:cs="Times New Roman"/>
          <w:sz w:val="24"/>
          <w:szCs w:val="24"/>
        </w:rPr>
      </w:pPr>
    </w:p>
    <w:p w14:paraId="75191EF2" w14:textId="77777777" w:rsidR="0075431C" w:rsidRDefault="00BB256B" w:rsidP="00BB256B">
      <w:pPr>
        <w:spacing w:after="0" w:line="240" w:lineRule="auto"/>
        <w:ind w:left="720"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The ASU Public Service Academy is grateful for the Dillon Fund's kind consideration of this request, </w:t>
      </w:r>
      <w:proofErr w:type="gramStart"/>
      <w:r>
        <w:rPr>
          <w:rFonts w:ascii="Times New Roman" w:eastAsia="Times New Roman" w:hAnsi="Times New Roman" w:cs="Times New Roman"/>
          <w:sz w:val="24"/>
          <w:szCs w:val="24"/>
        </w:rPr>
        <w:t>in particular because</w:t>
      </w:r>
      <w:proofErr w:type="gramEnd"/>
      <w:r>
        <w:rPr>
          <w:rFonts w:ascii="Times New Roman" w:eastAsia="Times New Roman" w:hAnsi="Times New Roman" w:cs="Times New Roman"/>
          <w:sz w:val="24"/>
          <w:szCs w:val="24"/>
        </w:rPr>
        <w:t xml:space="preserve"> the tremendous lifelong legacy of C. Douglas Dillon aligns so well with the vision and mission of the Public Service Academy (PSA).</w:t>
      </w:r>
      <w:r>
        <w:rPr>
          <w:rFonts w:ascii="Times New Roman" w:eastAsia="Times New Roman" w:hAnsi="Times New Roman" w:cs="Times New Roman"/>
          <w:sz w:val="24"/>
          <w:szCs w:val="24"/>
        </w:rPr>
        <w:t xml:space="preserve"> Secretary Dillon’s distinguished service in the United States Navy during the Second World War, his contributions as an American diplomat and politician as a member of President Eisenhower’s cabinet, his scholarly pursuits and business acumen, and his pas</w:t>
      </w:r>
      <w:r>
        <w:rPr>
          <w:rFonts w:ascii="Times New Roman" w:eastAsia="Times New Roman" w:hAnsi="Times New Roman" w:cs="Times New Roman"/>
          <w:sz w:val="24"/>
          <w:szCs w:val="24"/>
        </w:rPr>
        <w:t xml:space="preserve">sion for volunteering and philanthropy exemplify all that can be accomplished by future generations of PSA graduates. In partnership with the Dillon Fund, the Public Service Academy at ASU hopes to reignite a collective commitment to service to our </w:t>
      </w:r>
      <w:proofErr w:type="gramStart"/>
      <w:r>
        <w:rPr>
          <w:rFonts w:ascii="Times New Roman" w:eastAsia="Times New Roman" w:hAnsi="Times New Roman" w:cs="Times New Roman"/>
          <w:sz w:val="24"/>
          <w:szCs w:val="24"/>
        </w:rPr>
        <w:t>nation,</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help solve our country's most pressing challenges by preparing the next generation of cross-sector leaders who are ready to face them. </w:t>
      </w:r>
    </w:p>
    <w:p w14:paraId="5FC52339" w14:textId="77777777" w:rsidR="0075431C" w:rsidRDefault="0075431C" w:rsidP="00F50C1A">
      <w:pPr>
        <w:spacing w:after="0" w:line="240" w:lineRule="auto"/>
        <w:ind w:left="720" w:right="720"/>
        <w:contextualSpacing/>
        <w:jc w:val="both"/>
        <w:rPr>
          <w:rFonts w:ascii="Times New Roman" w:eastAsia="Times New Roman" w:hAnsi="Times New Roman" w:cs="Times New Roman"/>
          <w:sz w:val="24"/>
          <w:szCs w:val="24"/>
        </w:rPr>
      </w:pPr>
    </w:p>
    <w:p w14:paraId="28E51E8B" w14:textId="77777777" w:rsidR="0075431C" w:rsidRDefault="0075431C" w:rsidP="00F50C1A">
      <w:pPr>
        <w:spacing w:after="0" w:line="240" w:lineRule="auto"/>
        <w:contextualSpacing/>
        <w:rPr>
          <w:rFonts w:ascii="Times New Roman" w:eastAsia="Times New Roman" w:hAnsi="Times New Roman" w:cs="Times New Roman"/>
          <w:sz w:val="24"/>
          <w:szCs w:val="24"/>
        </w:rPr>
      </w:pPr>
    </w:p>
    <w:p w14:paraId="78D1965B" w14:textId="77777777" w:rsidR="0075431C" w:rsidRDefault="00BB256B" w:rsidP="00F50C1A">
      <w:pPr>
        <w:pBdr>
          <w:bottom w:val="single" w:sz="4" w:space="1"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[Back Cover/Last Page]</w:t>
      </w:r>
    </w:p>
    <w:p w14:paraId="1B82156D" w14:textId="77777777" w:rsidR="0075431C" w:rsidRDefault="00BB256B" w:rsidP="00F50C1A">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Development Officer</w:t>
      </w:r>
    </w:p>
    <w:p w14:paraId="687CAD85" w14:textId="77777777" w:rsidR="0075431C" w:rsidRDefault="00BB256B" w:rsidP="00F50C1A">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Development Officer</w:t>
      </w:r>
    </w:p>
    <w:p w14:paraId="1219A6A1" w14:textId="77777777" w:rsidR="0075431C" w:rsidRDefault="00BB256B" w:rsidP="00F50C1A">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of Development Officer</w:t>
      </w:r>
    </w:p>
    <w:p w14:paraId="7D1A23C2" w14:textId="77777777" w:rsidR="0075431C" w:rsidRDefault="00BB256B" w:rsidP="00F50C1A">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w:t>
      </w:r>
      <w:r>
        <w:rPr>
          <w:rFonts w:ascii="Times New Roman" w:eastAsia="Times New Roman" w:hAnsi="Times New Roman" w:cs="Times New Roman"/>
          <w:color w:val="000000"/>
          <w:sz w:val="24"/>
          <w:szCs w:val="24"/>
        </w:rPr>
        <w:t>one Number of Development Officer</w:t>
      </w:r>
    </w:p>
    <w:p w14:paraId="6EDACF4C" w14:textId="77777777" w:rsidR="0075431C" w:rsidRDefault="00BB256B" w:rsidP="00F50C1A">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of Development Officer</w:t>
      </w:r>
    </w:p>
    <w:p w14:paraId="5B4F8055" w14:textId="77777777" w:rsidR="0075431C" w:rsidRDefault="0075431C" w:rsidP="00F50C1A">
      <w:pPr>
        <w:spacing w:after="0" w:line="240" w:lineRule="auto"/>
        <w:contextualSpacing/>
        <w:rPr>
          <w:rFonts w:ascii="Times New Roman" w:eastAsia="Times New Roman" w:hAnsi="Times New Roman" w:cs="Times New Roman"/>
          <w:sz w:val="24"/>
          <w:szCs w:val="24"/>
        </w:rPr>
      </w:pPr>
    </w:p>
    <w:p w14:paraId="13FB221C" w14:textId="77777777" w:rsidR="0075431C" w:rsidRDefault="0075431C" w:rsidP="00F50C1A">
      <w:pPr>
        <w:spacing w:after="0" w:line="240" w:lineRule="auto"/>
        <w:contextualSpacing/>
        <w:rPr>
          <w:rFonts w:ascii="Times New Roman" w:eastAsia="Times New Roman" w:hAnsi="Times New Roman" w:cs="Times New Roman"/>
          <w:sz w:val="24"/>
          <w:szCs w:val="24"/>
        </w:rPr>
      </w:pPr>
    </w:p>
    <w:p w14:paraId="24584EDC" w14:textId="77777777" w:rsidR="0075431C" w:rsidRDefault="00BB256B" w:rsidP="00F50C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[ASU logo]</w:t>
      </w:r>
    </w:p>
    <w:p w14:paraId="6AD61AB9" w14:textId="77777777" w:rsidR="0075431C" w:rsidRDefault="0075431C" w:rsidP="00F50C1A">
      <w:pPr>
        <w:spacing w:after="0" w:line="240" w:lineRule="auto"/>
        <w:contextualSpacing/>
        <w:rPr>
          <w:rFonts w:ascii="Times New Roman" w:eastAsia="Times New Roman" w:hAnsi="Times New Roman" w:cs="Times New Roman"/>
          <w:sz w:val="24"/>
          <w:szCs w:val="24"/>
        </w:rPr>
      </w:pPr>
    </w:p>
    <w:sectPr w:rsidR="0075431C">
      <w:pgSz w:w="12240" w:h="15840"/>
      <w:pgMar w:top="117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Light">
    <w:altName w:val="Arial"/>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893"/>
    <w:multiLevelType w:val="multilevel"/>
    <w:tmpl w:val="E5A477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135DC5"/>
    <w:multiLevelType w:val="multilevel"/>
    <w:tmpl w:val="2D9AC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9C172C"/>
    <w:multiLevelType w:val="multilevel"/>
    <w:tmpl w:val="40A4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1C"/>
    <w:rsid w:val="0075431C"/>
    <w:rsid w:val="00BB256B"/>
    <w:rsid w:val="00BE303E"/>
    <w:rsid w:val="00CA28B9"/>
    <w:rsid w:val="00E768CD"/>
    <w:rsid w:val="00F5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C301"/>
  <w15:docId w15:val="{D960AA6F-B9BE-4A90-95AF-2E6ED186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A77"/>
    <w:pPr>
      <w:widowControl w:val="0"/>
      <w:spacing w:after="0" w:line="240" w:lineRule="auto"/>
      <w:ind w:left="120"/>
      <w:outlineLvl w:val="0"/>
    </w:pPr>
    <w:rPr>
      <w:rFonts w:ascii="Helvetica" w:eastAsia="Helvetica" w:hAnsi="Helvetica"/>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993A77"/>
    <w:rPr>
      <w:rFonts w:ascii="Helvetica" w:eastAsia="Helvetica" w:hAnsi="Helvetica"/>
      <w:b/>
      <w:bCs/>
      <w:sz w:val="24"/>
      <w:szCs w:val="24"/>
    </w:rPr>
  </w:style>
  <w:style w:type="paragraph" w:styleId="BodyText">
    <w:name w:val="Body Text"/>
    <w:basedOn w:val="Normal"/>
    <w:link w:val="BodyTextChar"/>
    <w:uiPriority w:val="1"/>
    <w:qFormat/>
    <w:rsid w:val="00993A77"/>
    <w:pPr>
      <w:widowControl w:val="0"/>
      <w:spacing w:after="0" w:line="240" w:lineRule="auto"/>
      <w:ind w:left="120"/>
    </w:pPr>
    <w:rPr>
      <w:rFonts w:ascii="Helvetica Light" w:eastAsia="Helvetica Light" w:hAnsi="Helvetica Light"/>
      <w:sz w:val="20"/>
      <w:szCs w:val="20"/>
    </w:rPr>
  </w:style>
  <w:style w:type="character" w:customStyle="1" w:styleId="BodyTextChar">
    <w:name w:val="Body Text Char"/>
    <w:basedOn w:val="DefaultParagraphFont"/>
    <w:link w:val="BodyText"/>
    <w:uiPriority w:val="1"/>
    <w:rsid w:val="00993A77"/>
    <w:rPr>
      <w:rFonts w:ascii="Helvetica Light" w:eastAsia="Helvetica Light" w:hAnsi="Helvetica Light"/>
      <w:sz w:val="20"/>
      <w:szCs w:val="20"/>
    </w:rPr>
  </w:style>
  <w:style w:type="paragraph" w:styleId="ListParagraph">
    <w:name w:val="List Paragraph"/>
    <w:basedOn w:val="Normal"/>
    <w:uiPriority w:val="34"/>
    <w:qFormat/>
    <w:rsid w:val="00283EC4"/>
    <w:pPr>
      <w:ind w:left="720"/>
      <w:contextualSpacing/>
    </w:pPr>
  </w:style>
  <w:style w:type="character" w:styleId="CommentReference">
    <w:name w:val="annotation reference"/>
    <w:basedOn w:val="DefaultParagraphFont"/>
    <w:uiPriority w:val="99"/>
    <w:semiHidden/>
    <w:unhideWhenUsed/>
    <w:rsid w:val="004426B8"/>
    <w:rPr>
      <w:sz w:val="16"/>
      <w:szCs w:val="16"/>
    </w:rPr>
  </w:style>
  <w:style w:type="paragraph" w:styleId="CommentText">
    <w:name w:val="annotation text"/>
    <w:basedOn w:val="Normal"/>
    <w:link w:val="CommentTextChar"/>
    <w:uiPriority w:val="99"/>
    <w:semiHidden/>
    <w:unhideWhenUsed/>
    <w:rsid w:val="004426B8"/>
    <w:pPr>
      <w:spacing w:line="240" w:lineRule="auto"/>
    </w:pPr>
    <w:rPr>
      <w:sz w:val="20"/>
      <w:szCs w:val="20"/>
    </w:rPr>
  </w:style>
  <w:style w:type="character" w:customStyle="1" w:styleId="CommentTextChar">
    <w:name w:val="Comment Text Char"/>
    <w:basedOn w:val="DefaultParagraphFont"/>
    <w:link w:val="CommentText"/>
    <w:uiPriority w:val="99"/>
    <w:semiHidden/>
    <w:rsid w:val="004426B8"/>
    <w:rPr>
      <w:sz w:val="20"/>
      <w:szCs w:val="20"/>
    </w:rPr>
  </w:style>
  <w:style w:type="paragraph" w:styleId="CommentSubject">
    <w:name w:val="annotation subject"/>
    <w:basedOn w:val="CommentText"/>
    <w:next w:val="CommentText"/>
    <w:link w:val="CommentSubjectChar"/>
    <w:uiPriority w:val="99"/>
    <w:semiHidden/>
    <w:unhideWhenUsed/>
    <w:rsid w:val="004426B8"/>
    <w:rPr>
      <w:b/>
      <w:bCs/>
    </w:rPr>
  </w:style>
  <w:style w:type="character" w:customStyle="1" w:styleId="CommentSubjectChar">
    <w:name w:val="Comment Subject Char"/>
    <w:basedOn w:val="CommentTextChar"/>
    <w:link w:val="CommentSubject"/>
    <w:uiPriority w:val="99"/>
    <w:semiHidden/>
    <w:rsid w:val="004426B8"/>
    <w:rPr>
      <w:b/>
      <w:bCs/>
      <w:sz w:val="20"/>
      <w:szCs w:val="20"/>
    </w:rPr>
  </w:style>
  <w:style w:type="paragraph" w:styleId="BalloonText">
    <w:name w:val="Balloon Text"/>
    <w:basedOn w:val="Normal"/>
    <w:link w:val="BalloonTextChar"/>
    <w:uiPriority w:val="99"/>
    <w:semiHidden/>
    <w:unhideWhenUsed/>
    <w:rsid w:val="0044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B8"/>
    <w:rPr>
      <w:rFonts w:ascii="Segoe UI" w:hAnsi="Segoe UI" w:cs="Segoe UI"/>
      <w:sz w:val="18"/>
      <w:szCs w:val="18"/>
    </w:rPr>
  </w:style>
  <w:style w:type="character" w:styleId="Hyperlink">
    <w:name w:val="Hyperlink"/>
    <w:basedOn w:val="DefaultParagraphFont"/>
    <w:uiPriority w:val="99"/>
    <w:unhideWhenUsed/>
    <w:rsid w:val="002F2A52"/>
    <w:rPr>
      <w:color w:val="0563C1" w:themeColor="hyperlink"/>
      <w:u w:val="single"/>
    </w:rPr>
  </w:style>
  <w:style w:type="paragraph" w:styleId="Header">
    <w:name w:val="header"/>
    <w:basedOn w:val="Normal"/>
    <w:link w:val="HeaderChar"/>
    <w:uiPriority w:val="99"/>
    <w:unhideWhenUsed/>
    <w:rsid w:val="002F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52"/>
  </w:style>
  <w:style w:type="paragraph" w:styleId="Footer">
    <w:name w:val="footer"/>
    <w:basedOn w:val="Normal"/>
    <w:link w:val="FooterChar"/>
    <w:uiPriority w:val="99"/>
    <w:unhideWhenUsed/>
    <w:rsid w:val="002F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52"/>
  </w:style>
  <w:style w:type="paragraph" w:styleId="NormalWeb">
    <w:name w:val="Normal (Web)"/>
    <w:basedOn w:val="Normal"/>
    <w:uiPriority w:val="99"/>
    <w:semiHidden/>
    <w:unhideWhenUsed/>
    <w:rsid w:val="00876C5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7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76C5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9750B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rike.com/frontend/requestforms/index.html?token=eyJhY2NvdW50SWQiOjI0NDcwMDgsInRhc2tGb3JtSWQiOjcwMDc2OX0JNDgxMjk5NDc1NDk2NQk5NmQwMGZlYjM5NGM5ZjJhNDIxMmM0N2VjZmY0ZDJjNzRkNjE1NzExYTk2YzBlZjUwY2NhNGUwOTI2ZjkxNmY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ritingServices@asufound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7MEVOvoJGFuZH3QmI40gp85Uw==">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Liz Bernreuter</cp:lastModifiedBy>
  <cp:revision>6</cp:revision>
  <dcterms:created xsi:type="dcterms:W3CDTF">2022-12-20T16:34:00Z</dcterms:created>
  <dcterms:modified xsi:type="dcterms:W3CDTF">2022-12-20T16:41:00Z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0x010100B9389F7885AFB8408C36FF0BE22F00EF</vt:lpwstr>
  </property>
</Properties>
</file>